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0C7D8B" w14:textId="77777777" w:rsidR="004B77BB" w:rsidRPr="004B77BB" w:rsidRDefault="004B77BB" w:rsidP="004B77BB">
      <w:pPr>
        <w:pBdr>
          <w:top w:val="single" w:sz="12" w:space="4" w:color="4E2F8C"/>
        </w:pBdr>
        <w:spacing w:after="75" w:line="240" w:lineRule="auto"/>
        <w:outlineLvl w:val="0"/>
        <w:rPr>
          <w:rFonts w:ascii="Arial" w:eastAsia="Times New Roman" w:hAnsi="Arial" w:cs="Arial"/>
          <w:color w:val="4E2F8C"/>
          <w:kern w:val="36"/>
          <w:sz w:val="42"/>
          <w:szCs w:val="42"/>
          <w:lang w:eastAsia="es-ES"/>
        </w:rPr>
      </w:pPr>
      <w:r w:rsidRPr="004B77BB">
        <w:rPr>
          <w:rFonts w:ascii="Arial" w:eastAsia="Times New Roman" w:hAnsi="Arial" w:cs="Arial"/>
          <w:color w:val="4E2F8C"/>
          <w:kern w:val="36"/>
          <w:sz w:val="42"/>
          <w:szCs w:val="42"/>
          <w:lang w:eastAsia="es-ES"/>
        </w:rPr>
        <w:t>Bostezando ante el apocalipsis</w:t>
      </w:r>
    </w:p>
    <w:p w14:paraId="7F390F8A" w14:textId="77777777" w:rsidR="004B77BB" w:rsidRPr="004B77BB" w:rsidRDefault="004B77BB" w:rsidP="004B77BB">
      <w:pPr>
        <w:spacing w:after="150" w:line="240" w:lineRule="auto"/>
        <w:rPr>
          <w:rFonts w:ascii="Times New Roman" w:eastAsia="Times New Roman" w:hAnsi="Times New Roman" w:cs="Times New Roman"/>
          <w:b/>
          <w:bCs/>
          <w:sz w:val="24"/>
          <w:szCs w:val="24"/>
          <w:lang w:eastAsia="es-ES"/>
        </w:rPr>
      </w:pPr>
      <w:r w:rsidRPr="004B77BB">
        <w:rPr>
          <w:rFonts w:ascii="Times New Roman" w:eastAsia="Times New Roman" w:hAnsi="Times New Roman" w:cs="Times New Roman"/>
          <w:b/>
          <w:bCs/>
          <w:sz w:val="24"/>
          <w:szCs w:val="24"/>
          <w:lang w:eastAsia="es-ES"/>
        </w:rPr>
        <w:t xml:space="preserve">Cameron </w:t>
      </w:r>
      <w:proofErr w:type="spellStart"/>
      <w:r w:rsidRPr="004B77BB">
        <w:rPr>
          <w:rFonts w:ascii="Times New Roman" w:eastAsia="Times New Roman" w:hAnsi="Times New Roman" w:cs="Times New Roman"/>
          <w:b/>
          <w:bCs/>
          <w:sz w:val="24"/>
          <w:szCs w:val="24"/>
          <w:lang w:eastAsia="es-ES"/>
        </w:rPr>
        <w:t>Brick</w:t>
      </w:r>
      <w:proofErr w:type="spellEnd"/>
      <w:r w:rsidRPr="004B77BB">
        <w:rPr>
          <w:rFonts w:ascii="Times New Roman" w:eastAsia="Times New Roman" w:hAnsi="Times New Roman" w:cs="Times New Roman"/>
          <w:b/>
          <w:bCs/>
          <w:sz w:val="24"/>
          <w:szCs w:val="24"/>
          <w:lang w:eastAsia="es-ES"/>
        </w:rPr>
        <w:t xml:space="preserve"> y Sander van </w:t>
      </w:r>
      <w:proofErr w:type="spellStart"/>
      <w:r w:rsidRPr="004B77BB">
        <w:rPr>
          <w:rFonts w:ascii="Times New Roman" w:eastAsia="Times New Roman" w:hAnsi="Times New Roman" w:cs="Times New Roman"/>
          <w:b/>
          <w:bCs/>
          <w:sz w:val="24"/>
          <w:szCs w:val="24"/>
          <w:lang w:eastAsia="es-ES"/>
        </w:rPr>
        <w:t>der</w:t>
      </w:r>
      <w:proofErr w:type="spellEnd"/>
      <w:r w:rsidRPr="004B77BB">
        <w:rPr>
          <w:rFonts w:ascii="Times New Roman" w:eastAsia="Times New Roman" w:hAnsi="Times New Roman" w:cs="Times New Roman"/>
          <w:b/>
          <w:bCs/>
          <w:sz w:val="24"/>
          <w:szCs w:val="24"/>
          <w:lang w:eastAsia="es-ES"/>
        </w:rPr>
        <w:t xml:space="preserve"> Linden sobre cómo los psicólogos pueden ayudar a resolver el dilema social más grande de la historia.</w:t>
      </w:r>
    </w:p>
    <w:p w14:paraId="4B161D5D" w14:textId="77777777" w:rsidR="004B77BB" w:rsidRPr="004B77BB" w:rsidRDefault="004B77BB" w:rsidP="004B77BB">
      <w:pPr>
        <w:spacing w:after="150" w:line="240" w:lineRule="auto"/>
        <w:jc w:val="center"/>
        <w:rPr>
          <w:rFonts w:ascii="Times New Roman" w:eastAsia="Times New Roman" w:hAnsi="Times New Roman" w:cs="Times New Roman"/>
          <w:sz w:val="24"/>
          <w:szCs w:val="24"/>
          <w:lang w:eastAsia="es-ES"/>
        </w:rPr>
      </w:pPr>
    </w:p>
    <w:p w14:paraId="2A7158EB"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i/>
          <w:iCs/>
          <w:sz w:val="24"/>
          <w:szCs w:val="24"/>
          <w:lang w:eastAsia="es-ES"/>
        </w:rPr>
        <w:t>Un cerdo se llenó de bellotas debajo de un roble y luego comenzó a hozar alrededor del árbol. Un cuervo comentó: 'No deberías hacer esto. Si dejas al descubierto las raíces, el árbol se secará y morirá.' 'Déjalo morir', dijo el cerdo. ¿A quién le importa mientras haya bellotas?</w:t>
      </w:r>
      <w:r w:rsidRPr="004B77BB">
        <w:rPr>
          <w:rFonts w:ascii="Times New Roman" w:eastAsia="Times New Roman" w:hAnsi="Times New Roman" w:cs="Times New Roman"/>
          <w:i/>
          <w:iCs/>
          <w:sz w:val="24"/>
          <w:szCs w:val="24"/>
          <w:lang w:eastAsia="es-ES"/>
        </w:rPr>
        <w:br/>
        <w:t>(adaptado de una </w:t>
      </w:r>
      <w:hyperlink r:id="rId4" w:tgtFrame="_blank" w:history="1">
        <w:r w:rsidRPr="004B77BB">
          <w:rPr>
            <w:rFonts w:ascii="Times New Roman" w:eastAsia="Times New Roman" w:hAnsi="Times New Roman" w:cs="Times New Roman"/>
            <w:i/>
            <w:iCs/>
            <w:color w:val="4E2F8C"/>
            <w:sz w:val="24"/>
            <w:szCs w:val="24"/>
            <w:u w:val="single"/>
            <w:lang w:eastAsia="es-ES"/>
          </w:rPr>
          <w:t>fábula</w:t>
        </w:r>
      </w:hyperlink>
      <w:r w:rsidRPr="004B77BB">
        <w:rPr>
          <w:rFonts w:ascii="Times New Roman" w:eastAsia="Times New Roman" w:hAnsi="Times New Roman" w:cs="Times New Roman"/>
          <w:i/>
          <w:iCs/>
          <w:sz w:val="24"/>
          <w:szCs w:val="24"/>
          <w:lang w:eastAsia="es-ES"/>
        </w:rPr>
        <w:t xml:space="preserve"> de </w:t>
      </w:r>
      <w:proofErr w:type="spellStart"/>
      <w:r w:rsidRPr="004B77BB">
        <w:rPr>
          <w:rFonts w:ascii="Times New Roman" w:eastAsia="Times New Roman" w:hAnsi="Times New Roman" w:cs="Times New Roman"/>
          <w:i/>
          <w:iCs/>
          <w:sz w:val="24"/>
          <w:szCs w:val="24"/>
          <w:lang w:eastAsia="es-ES"/>
        </w:rPr>
        <w:t>Andreyevich</w:t>
      </w:r>
      <w:proofErr w:type="spellEnd"/>
      <w:r w:rsidRPr="004B77BB">
        <w:rPr>
          <w:rFonts w:ascii="Times New Roman" w:eastAsia="Times New Roman" w:hAnsi="Times New Roman" w:cs="Times New Roman"/>
          <w:i/>
          <w:iCs/>
          <w:sz w:val="24"/>
          <w:szCs w:val="24"/>
          <w:lang w:eastAsia="es-ES"/>
        </w:rPr>
        <w:t xml:space="preserve"> </w:t>
      </w:r>
      <w:proofErr w:type="spellStart"/>
      <w:r w:rsidRPr="004B77BB">
        <w:rPr>
          <w:rFonts w:ascii="Times New Roman" w:eastAsia="Times New Roman" w:hAnsi="Times New Roman" w:cs="Times New Roman"/>
          <w:i/>
          <w:iCs/>
          <w:sz w:val="24"/>
          <w:szCs w:val="24"/>
          <w:lang w:eastAsia="es-ES"/>
        </w:rPr>
        <w:t>Krylov</w:t>
      </w:r>
      <w:proofErr w:type="spellEnd"/>
      <w:r w:rsidRPr="004B77BB">
        <w:rPr>
          <w:rFonts w:ascii="Times New Roman" w:eastAsia="Times New Roman" w:hAnsi="Times New Roman" w:cs="Times New Roman"/>
          <w:i/>
          <w:iCs/>
          <w:sz w:val="24"/>
          <w:szCs w:val="24"/>
          <w:lang w:eastAsia="es-ES"/>
        </w:rPr>
        <w:t>)</w:t>
      </w:r>
    </w:p>
    <w:p w14:paraId="596D0AEF"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E n un artículo </w:t>
      </w:r>
      <w:r w:rsidRPr="004B77BB">
        <w:rPr>
          <w:rFonts w:ascii="Times New Roman" w:eastAsia="Times New Roman" w:hAnsi="Times New Roman" w:cs="Times New Roman"/>
          <w:i/>
          <w:iCs/>
          <w:sz w:val="24"/>
          <w:szCs w:val="24"/>
          <w:lang w:eastAsia="es-ES"/>
        </w:rPr>
        <w:t>del Washington Post</w:t>
      </w:r>
      <w:r w:rsidRPr="004B77BB">
        <w:rPr>
          <w:rFonts w:ascii="Times New Roman" w:eastAsia="Times New Roman" w:hAnsi="Times New Roman" w:cs="Times New Roman"/>
          <w:sz w:val="24"/>
          <w:szCs w:val="24"/>
          <w:lang w:eastAsia="es-ES"/>
        </w:rPr>
        <w:t xml:space="preserve"> de 2009, el periodista David </w:t>
      </w:r>
      <w:proofErr w:type="spellStart"/>
      <w:r w:rsidRPr="004B77BB">
        <w:rPr>
          <w:rFonts w:ascii="Times New Roman" w:eastAsia="Times New Roman" w:hAnsi="Times New Roman" w:cs="Times New Roman"/>
          <w:sz w:val="24"/>
          <w:szCs w:val="24"/>
          <w:lang w:eastAsia="es-ES"/>
        </w:rPr>
        <w:t>Fahrenthold</w:t>
      </w:r>
      <w:proofErr w:type="spellEnd"/>
      <w:r w:rsidRPr="004B77BB">
        <w:rPr>
          <w:rFonts w:ascii="Times New Roman" w:eastAsia="Times New Roman" w:hAnsi="Times New Roman" w:cs="Times New Roman"/>
          <w:sz w:val="24"/>
          <w:szCs w:val="24"/>
          <w:lang w:eastAsia="es-ES"/>
        </w:rPr>
        <w:t xml:space="preserve"> escribió: 'Si alguien se propusiera dibujar un problema que a la gente no le importaría, se vería exactamente como el cambio climático'. Naomi Klein y otros han argumentado que no es que a la gente no le importe: es solo que el problema es tan enorme y abarcador que la gente se siente impotente y sin poder. De cualquier manera, la psicología es fundamental para comprender cómo percibimos y respondemos al cambio climático. </w:t>
      </w:r>
    </w:p>
    <w:p w14:paraId="47494B50"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Después de décadas de discusión y varios artículos en esta misma revista, se podría argumentar que se ha logrado poco progreso práctico. ¿Por qué el cambio climático está demostrando ser un problema tan persistente?</w:t>
      </w:r>
    </w:p>
    <w:p w14:paraId="61DB29C1"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b/>
          <w:bCs/>
          <w:sz w:val="24"/>
          <w:szCs w:val="24"/>
          <w:lang w:eastAsia="es-ES"/>
        </w:rPr>
        <w:t>compensaciones</w:t>
      </w:r>
    </w:p>
    <w:p w14:paraId="2FDDCE52"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Todos los días hacemos importantes concesiones entre lo que es bueno para nosotros y lo que es bueno para otras personas, la sociedad y el planeta. Estas compensaciones reflejan un dilema social fundamental: ¿elegimos la opción egoísta que viene con una recompensa personal inmediata y alta o vamos con la opción de cooperación social a largo plazo que es en el mejor interés de la sociedad? La paradoja de la salud de nuestro planeta es que, a nivel social, todos estaríamos mejor si todos actuaran de manera sostenible, pero a nivel individual, comportarse de manera </w:t>
      </w:r>
      <w:r w:rsidRPr="004B77BB">
        <w:rPr>
          <w:rFonts w:ascii="Times New Roman" w:eastAsia="Times New Roman" w:hAnsi="Times New Roman" w:cs="Times New Roman"/>
          <w:i/>
          <w:iCs/>
          <w:sz w:val="24"/>
          <w:szCs w:val="24"/>
          <w:lang w:eastAsia="es-ES"/>
        </w:rPr>
        <w:t>insostenible</w:t>
      </w:r>
      <w:r w:rsidRPr="004B77BB">
        <w:rPr>
          <w:rFonts w:ascii="Times New Roman" w:eastAsia="Times New Roman" w:hAnsi="Times New Roman" w:cs="Times New Roman"/>
          <w:sz w:val="24"/>
          <w:szCs w:val="24"/>
          <w:lang w:eastAsia="es-ES"/>
        </w:rPr>
        <w:t> suele ser la opción predeterminada, más fácil, menos costosa y psicológicamente más atractiva. </w:t>
      </w:r>
    </w:p>
    <w:p w14:paraId="6B40E745"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Los psicólogos han estado estudiando cómo resolver problemas de acción colectiva durante décadas. Y la sociedad ha abordado problemas similares en el pasado, como los problemas de salud difusos y a largo plazo de los pesticidas agrícolas destacados por Rachel Carson en su famoso libro de 1962 </w:t>
      </w:r>
      <w:proofErr w:type="spellStart"/>
      <w:r w:rsidRPr="004B77BB">
        <w:rPr>
          <w:rFonts w:ascii="Times New Roman" w:eastAsia="Times New Roman" w:hAnsi="Times New Roman" w:cs="Times New Roman"/>
          <w:i/>
          <w:iCs/>
          <w:sz w:val="24"/>
          <w:szCs w:val="24"/>
          <w:lang w:eastAsia="es-ES"/>
        </w:rPr>
        <w:t>Silent</w:t>
      </w:r>
      <w:proofErr w:type="spellEnd"/>
      <w:r w:rsidRPr="004B77BB">
        <w:rPr>
          <w:rFonts w:ascii="Times New Roman" w:eastAsia="Times New Roman" w:hAnsi="Times New Roman" w:cs="Times New Roman"/>
          <w:i/>
          <w:iCs/>
          <w:sz w:val="24"/>
          <w:szCs w:val="24"/>
          <w:lang w:eastAsia="es-ES"/>
        </w:rPr>
        <w:t xml:space="preserve"> </w:t>
      </w:r>
      <w:proofErr w:type="gramStart"/>
      <w:r w:rsidRPr="004B77BB">
        <w:rPr>
          <w:rFonts w:ascii="Times New Roman" w:eastAsia="Times New Roman" w:hAnsi="Times New Roman" w:cs="Times New Roman"/>
          <w:i/>
          <w:iCs/>
          <w:sz w:val="24"/>
          <w:szCs w:val="24"/>
          <w:lang w:eastAsia="es-ES"/>
        </w:rPr>
        <w:t>Spring</w:t>
      </w:r>
      <w:r w:rsidRPr="004B77BB">
        <w:rPr>
          <w:rFonts w:ascii="Times New Roman" w:eastAsia="Times New Roman" w:hAnsi="Times New Roman" w:cs="Times New Roman"/>
          <w:sz w:val="24"/>
          <w:szCs w:val="24"/>
          <w:lang w:eastAsia="es-ES"/>
        </w:rPr>
        <w:t> ,</w:t>
      </w:r>
      <w:proofErr w:type="gramEnd"/>
      <w:r w:rsidRPr="004B77BB">
        <w:rPr>
          <w:rFonts w:ascii="Times New Roman" w:eastAsia="Times New Roman" w:hAnsi="Times New Roman" w:cs="Times New Roman"/>
          <w:sz w:val="24"/>
          <w:szCs w:val="24"/>
          <w:lang w:eastAsia="es-ES"/>
        </w:rPr>
        <w:t xml:space="preserve"> que inspiró el movimiento ambiental moderno. Otros ejemplos incluyen la investigación ganadora del premio Nobel de </w:t>
      </w:r>
      <w:proofErr w:type="spellStart"/>
      <w:r w:rsidRPr="004B77BB">
        <w:rPr>
          <w:rFonts w:ascii="Times New Roman" w:eastAsia="Times New Roman" w:hAnsi="Times New Roman" w:cs="Times New Roman"/>
          <w:sz w:val="24"/>
          <w:szCs w:val="24"/>
          <w:lang w:eastAsia="es-ES"/>
        </w:rPr>
        <w:t>Elinor</w:t>
      </w:r>
      <w:proofErr w:type="spellEnd"/>
      <w:r w:rsidRPr="004B77BB">
        <w:rPr>
          <w:rFonts w:ascii="Times New Roman" w:eastAsia="Times New Roman" w:hAnsi="Times New Roman" w:cs="Times New Roman"/>
          <w:sz w:val="24"/>
          <w:szCs w:val="24"/>
          <w:lang w:eastAsia="es-ES"/>
        </w:rPr>
        <w:t xml:space="preserve"> Ostrom sobre cómo las pequeñas comunidades gestionan con éxito los bienes comunes compartidos. Sin embargo, en comparación con la mayoría de los demás problemas ambientales, el cambio climático es único en dos formas importantes. </w:t>
      </w:r>
    </w:p>
    <w:p w14:paraId="33F526D9"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En primer lugar, como problema ambiental, el cambio climático es excepcional porque su enorme escala generará problemas en cascada en los ecosistemas, incluidos la agricultura, la biodiversidad, los conflictos internacionales y la salud y la prosperidad humanas. En segundo lugar, el cambio climático no tiene precedentes psicológicos como dilema social debido a los desafíos cognitivos y sociales únicos que presenta para las personas. Por ejemplo, es muy difícil para los humanos captar amenazas que a veces se perciben como invisibles, graduales, distribuidas y de largo plazo (</w:t>
      </w:r>
      <w:proofErr w:type="spellStart"/>
      <w:r w:rsidRPr="004B77BB">
        <w:rPr>
          <w:rFonts w:ascii="Times New Roman" w:eastAsia="Times New Roman" w:hAnsi="Times New Roman" w:cs="Times New Roman"/>
          <w:sz w:val="24"/>
          <w:szCs w:val="24"/>
          <w:lang w:eastAsia="es-ES"/>
        </w:rPr>
        <w:t>Gifford</w:t>
      </w:r>
      <w:proofErr w:type="spellEnd"/>
      <w:r w:rsidRPr="004B77BB">
        <w:rPr>
          <w:rFonts w:ascii="Times New Roman" w:eastAsia="Times New Roman" w:hAnsi="Times New Roman" w:cs="Times New Roman"/>
          <w:sz w:val="24"/>
          <w:szCs w:val="24"/>
          <w:lang w:eastAsia="es-ES"/>
        </w:rPr>
        <w:t xml:space="preserve">, 2011; van </w:t>
      </w:r>
      <w:proofErr w:type="spellStart"/>
      <w:r w:rsidRPr="004B77BB">
        <w:rPr>
          <w:rFonts w:ascii="Times New Roman" w:eastAsia="Times New Roman" w:hAnsi="Times New Roman" w:cs="Times New Roman"/>
          <w:sz w:val="24"/>
          <w:szCs w:val="24"/>
          <w:lang w:eastAsia="es-ES"/>
        </w:rPr>
        <w:t>der</w:t>
      </w:r>
      <w:proofErr w:type="spellEnd"/>
      <w:r w:rsidRPr="004B77BB">
        <w:rPr>
          <w:rFonts w:ascii="Times New Roman" w:eastAsia="Times New Roman" w:hAnsi="Times New Roman" w:cs="Times New Roman"/>
          <w:sz w:val="24"/>
          <w:szCs w:val="24"/>
          <w:lang w:eastAsia="es-ES"/>
        </w:rPr>
        <w:t xml:space="preserve"> Linden et al., 2015). La humanidad corre grave riesgo de bostezar hacia uno de los mayores riesgos existenciales de nuestro tiempo porque las amenazas abstractas e </w:t>
      </w:r>
      <w:r w:rsidRPr="004B77BB">
        <w:rPr>
          <w:rFonts w:ascii="Times New Roman" w:eastAsia="Times New Roman" w:hAnsi="Times New Roman" w:cs="Times New Roman"/>
          <w:sz w:val="24"/>
          <w:szCs w:val="24"/>
          <w:lang w:eastAsia="es-ES"/>
        </w:rPr>
        <w:lastRenderedPageBreak/>
        <w:t>invisibles no son aterradoras para los cerebros que evolucionaron para resolver problemas locales, experienciales e inminentes. </w:t>
      </w:r>
    </w:p>
    <w:p w14:paraId="5EE01225"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Ahora que la ciencia física está clara, el problema fundamental del cambio climático es psicológico. ¿Cómo manejarán los humanos el mayor dilema social de la historia?</w:t>
      </w:r>
    </w:p>
    <w:p w14:paraId="552501F0"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Décadas de esfuerzos educativos han demostrado contundentemente que, aunque la educación sigue siendo efectiva y necesaria para la acción informada, brindar información a las personas (</w:t>
      </w:r>
      <w:proofErr w:type="spellStart"/>
      <w:r w:rsidRPr="004B77BB">
        <w:rPr>
          <w:rFonts w:ascii="Times New Roman" w:eastAsia="Times New Roman" w:hAnsi="Times New Roman" w:cs="Times New Roman"/>
          <w:sz w:val="24"/>
          <w:szCs w:val="24"/>
          <w:lang w:eastAsia="es-ES"/>
        </w:rPr>
        <w:t>oa</w:t>
      </w:r>
      <w:proofErr w:type="spellEnd"/>
      <w:r w:rsidRPr="004B77BB">
        <w:rPr>
          <w:rFonts w:ascii="Times New Roman" w:eastAsia="Times New Roman" w:hAnsi="Times New Roman" w:cs="Times New Roman"/>
          <w:sz w:val="24"/>
          <w:szCs w:val="24"/>
          <w:lang w:eastAsia="es-ES"/>
        </w:rPr>
        <w:t xml:space="preserve"> los políticos) es insuficiente para lograr un cambio de comportamiento. La falta de acción sobre el cambio climático es psicológicamente fascinante porque los hechos centrales sobre los gases de efecto invernadero están extremadamente bien verificados y documentados, y pueden ser evaluados incluso por personas que no son expertas. Sin embargo, a pesar de la abrumadora evidencia, el compromiso público y las políticas están muy por detrás del consenso de las recomendaciones de los expertos. En una revisión reciente de la literatura van </w:t>
      </w:r>
      <w:proofErr w:type="spellStart"/>
      <w:r w:rsidRPr="004B77BB">
        <w:rPr>
          <w:rFonts w:ascii="Times New Roman" w:eastAsia="Times New Roman" w:hAnsi="Times New Roman" w:cs="Times New Roman"/>
          <w:sz w:val="24"/>
          <w:szCs w:val="24"/>
          <w:lang w:eastAsia="es-ES"/>
        </w:rPr>
        <w:t>der</w:t>
      </w:r>
      <w:proofErr w:type="spellEnd"/>
      <w:r w:rsidRPr="004B77BB">
        <w:rPr>
          <w:rFonts w:ascii="Times New Roman" w:eastAsia="Times New Roman" w:hAnsi="Times New Roman" w:cs="Times New Roman"/>
          <w:sz w:val="24"/>
          <w:szCs w:val="24"/>
          <w:lang w:eastAsia="es-ES"/>
        </w:rPr>
        <w:t xml:space="preserve"> Linden et al. (2015) extraen principios psicológicos clave para ayudar a explicar esta brecha. Aquí, integramos los argumentos centrales en tres 'desafíos psicológicos' generales para la acción sobre el cambio climático, junto con posibles soluciones. </w:t>
      </w:r>
    </w:p>
    <w:p w14:paraId="07C82EA1"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b/>
          <w:bCs/>
          <w:sz w:val="24"/>
          <w:szCs w:val="24"/>
          <w:lang w:eastAsia="es-ES"/>
        </w:rPr>
        <w:t>El cambio climático no es visto como una cuestión moral</w:t>
      </w:r>
    </w:p>
    <w:p w14:paraId="25B1932F"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 xml:space="preserve">Los datos de encuestas del Programa de Comunicación sobre el Cambio Climático de Yale sugieren que menos del 35 por ciento de las personas ven el cambio climático como una cuestión moral. En una revisión importante, Markowitz y </w:t>
      </w:r>
      <w:proofErr w:type="spellStart"/>
      <w:r w:rsidRPr="004B77BB">
        <w:rPr>
          <w:rFonts w:ascii="Times New Roman" w:eastAsia="Times New Roman" w:hAnsi="Times New Roman" w:cs="Times New Roman"/>
          <w:sz w:val="24"/>
          <w:szCs w:val="24"/>
          <w:lang w:eastAsia="es-ES"/>
        </w:rPr>
        <w:t>Sharif</w:t>
      </w:r>
      <w:proofErr w:type="spellEnd"/>
      <w:r w:rsidRPr="004B77BB">
        <w:rPr>
          <w:rFonts w:ascii="Times New Roman" w:eastAsia="Times New Roman" w:hAnsi="Times New Roman" w:cs="Times New Roman"/>
          <w:sz w:val="24"/>
          <w:szCs w:val="24"/>
          <w:lang w:eastAsia="es-ES"/>
        </w:rPr>
        <w:t xml:space="preserve"> (2012) brindan argumentos convincentes para ayudar a explicar por qué el calentamiento global no genera intuiciones morales sólidas. </w:t>
      </w:r>
    </w:p>
    <w:p w14:paraId="28682A7F"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 xml:space="preserve">Una de las razones por las que Markowitz y </w:t>
      </w:r>
      <w:proofErr w:type="spellStart"/>
      <w:r w:rsidRPr="004B77BB">
        <w:rPr>
          <w:rFonts w:ascii="Times New Roman" w:eastAsia="Times New Roman" w:hAnsi="Times New Roman" w:cs="Times New Roman"/>
          <w:sz w:val="24"/>
          <w:szCs w:val="24"/>
          <w:lang w:eastAsia="es-ES"/>
        </w:rPr>
        <w:t>Sharif</w:t>
      </w:r>
      <w:proofErr w:type="spellEnd"/>
      <w:r w:rsidRPr="004B77BB">
        <w:rPr>
          <w:rFonts w:ascii="Times New Roman" w:eastAsia="Times New Roman" w:hAnsi="Times New Roman" w:cs="Times New Roman"/>
          <w:sz w:val="24"/>
          <w:szCs w:val="24"/>
          <w:lang w:eastAsia="es-ES"/>
        </w:rPr>
        <w:t xml:space="preserve"> mencionan es especialmente clave: la inocencia de la acción no intencional. En palabras del psicólogo de Harvard Dan Gilbert, "si el cambio climático fuera algún tipo de complot nefasto que nos amenazaran hombres muy malos con bigotes, entonces les garantizo que nuestro presidente nos haría luchar en una guerra contra el calentamiento con o sin la aprobación del Congreso". ' </w:t>
      </w:r>
    </w:p>
    <w:p w14:paraId="3F331B5C"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 xml:space="preserve">Un ingenioso experimento realizado en 2003 por el científico cognitivo de Yale Joshua </w:t>
      </w:r>
      <w:proofErr w:type="spellStart"/>
      <w:r w:rsidRPr="004B77BB">
        <w:rPr>
          <w:rFonts w:ascii="Times New Roman" w:eastAsia="Times New Roman" w:hAnsi="Times New Roman" w:cs="Times New Roman"/>
          <w:sz w:val="24"/>
          <w:szCs w:val="24"/>
          <w:lang w:eastAsia="es-ES"/>
        </w:rPr>
        <w:t>Knobe</w:t>
      </w:r>
      <w:proofErr w:type="spellEnd"/>
      <w:r w:rsidRPr="004B77BB">
        <w:rPr>
          <w:rFonts w:ascii="Times New Roman" w:eastAsia="Times New Roman" w:hAnsi="Times New Roman" w:cs="Times New Roman"/>
          <w:sz w:val="24"/>
          <w:szCs w:val="24"/>
          <w:lang w:eastAsia="es-ES"/>
        </w:rPr>
        <w:t xml:space="preserve"> revela cuán importante es la intencionalidad percibida para las personas. Cuando un director ejecutivo dice que no le importa en absoluto el medioambiente, sino solo aumentar las ganancias, y un nuevo programa corporativo termina dañando el medioambiente como subproducto, el 82 por ciento de las personas dirá que el director ejecutivo perjudicó intencionalmente al medioambiente. ambiente. Sin embargo, en un escenario idéntico en el que el programa ayudó al medio ambiente, ¡solo el 23 por ciento de las personas está de acuerdo en que el director ejecutivo ayudó al medio ambiente intencionalmente! En resumen, somos cuidadosos al repartir el </w:t>
      </w:r>
      <w:proofErr w:type="gramStart"/>
      <w:r w:rsidRPr="004B77BB">
        <w:rPr>
          <w:rFonts w:ascii="Times New Roman" w:eastAsia="Times New Roman" w:hAnsi="Times New Roman" w:cs="Times New Roman"/>
          <w:sz w:val="24"/>
          <w:szCs w:val="24"/>
          <w:lang w:eastAsia="es-ES"/>
        </w:rPr>
        <w:t>crédito</w:t>
      </w:r>
      <w:proofErr w:type="gramEnd"/>
      <w:r w:rsidRPr="004B77BB">
        <w:rPr>
          <w:rFonts w:ascii="Times New Roman" w:eastAsia="Times New Roman" w:hAnsi="Times New Roman" w:cs="Times New Roman"/>
          <w:sz w:val="24"/>
          <w:szCs w:val="24"/>
          <w:lang w:eastAsia="es-ES"/>
        </w:rPr>
        <w:t xml:space="preserve"> pero somos rápidos en culpar. </w:t>
      </w:r>
    </w:p>
    <w:p w14:paraId="26AD6E5E"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 xml:space="preserve">Entonces, ¿no debería eso significar que nos apresuramos a señalar con el dedo a las corporaciones multinacionales con malos antecedentes ambientales? Bueno, tal vez un problema es que es difícil preocuparse por los gases invisibles... en ausencia de un villano potencial claro, no hay nadie a quien culpar excepto a nosotros mismos, y esto puede desencadenar una variedad de sesgos defensivos. Los sentimientos morales evolucionaron para responder a las amenazas inminentes de los agentes. El cambio climático es una abstracción estadística, y esto hace que sea muy difícil activar la arquitectura cognitiva que desarrolló sentimientos morales para frustrar las amenazas. Esto es importante porque muchas teorías de la conducta prosocial </w:t>
      </w:r>
      <w:r w:rsidRPr="004B77BB">
        <w:rPr>
          <w:rFonts w:ascii="Times New Roman" w:eastAsia="Times New Roman" w:hAnsi="Times New Roman" w:cs="Times New Roman"/>
          <w:sz w:val="24"/>
          <w:szCs w:val="24"/>
          <w:lang w:eastAsia="es-ES"/>
        </w:rPr>
        <w:lastRenderedPageBreak/>
        <w:t>conceptualizan las normas morales y perciben la responsabilidad moral como un impulsor clave de la cooperación humana y el comportamiento prosocial (Schwartz, 1977; Stern et al., 1999). </w:t>
      </w:r>
    </w:p>
    <w:p w14:paraId="666FCCBC"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Entonces, ¿cómo establecemos un imperativo moral?</w:t>
      </w:r>
    </w:p>
    <w:p w14:paraId="6A0E382A"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1.  </w:t>
      </w:r>
      <w:r w:rsidRPr="004B77BB">
        <w:rPr>
          <w:rFonts w:ascii="Times New Roman" w:eastAsia="Times New Roman" w:hAnsi="Times New Roman" w:cs="Times New Roman"/>
          <w:i/>
          <w:iCs/>
          <w:sz w:val="24"/>
          <w:szCs w:val="24"/>
          <w:lang w:eastAsia="es-ES"/>
        </w:rPr>
        <w:t>Enmarcar las comunicaciones en torno a los valores específicos de la audiencia. </w:t>
      </w:r>
      <w:r w:rsidRPr="004B77BB">
        <w:rPr>
          <w:rFonts w:ascii="Times New Roman" w:eastAsia="Times New Roman" w:hAnsi="Times New Roman" w:cs="Times New Roman"/>
          <w:sz w:val="24"/>
          <w:szCs w:val="24"/>
          <w:lang w:eastAsia="es-ES"/>
        </w:rPr>
        <w:t>La teoría de los fundamentos morales sugiere que diferentes grupos se basan en diferentes fundamentos morales (Graham et al., 2009). Por ejemplo, los mensajes ambientales podrían centrarse menos en el daño a la naturaleza (piense en los osos polares), que atrae principalmente a los liberales, y más en la cohesión de la comunidad, mejorando la seguridad nacional y preservando la naturaleza, que atraen más a los conservadores (</w:t>
      </w:r>
      <w:proofErr w:type="spellStart"/>
      <w:r w:rsidRPr="004B77BB">
        <w:rPr>
          <w:rFonts w:ascii="Times New Roman" w:eastAsia="Times New Roman" w:hAnsi="Times New Roman" w:cs="Times New Roman"/>
          <w:sz w:val="24"/>
          <w:szCs w:val="24"/>
          <w:lang w:eastAsia="es-ES"/>
        </w:rPr>
        <w:t>Feinberg</w:t>
      </w:r>
      <w:proofErr w:type="spellEnd"/>
      <w:r w:rsidRPr="004B77BB">
        <w:rPr>
          <w:rFonts w:ascii="Times New Roman" w:eastAsia="Times New Roman" w:hAnsi="Times New Roman" w:cs="Times New Roman"/>
          <w:sz w:val="24"/>
          <w:szCs w:val="24"/>
          <w:lang w:eastAsia="es-ES"/>
        </w:rPr>
        <w:t xml:space="preserve"> &amp; </w:t>
      </w:r>
      <w:proofErr w:type="spellStart"/>
      <w:r w:rsidRPr="004B77BB">
        <w:rPr>
          <w:rFonts w:ascii="Times New Roman" w:eastAsia="Times New Roman" w:hAnsi="Times New Roman" w:cs="Times New Roman"/>
          <w:sz w:val="24"/>
          <w:szCs w:val="24"/>
          <w:lang w:eastAsia="es-ES"/>
        </w:rPr>
        <w:t>Willer</w:t>
      </w:r>
      <w:proofErr w:type="spellEnd"/>
      <w:r w:rsidRPr="004B77BB">
        <w:rPr>
          <w:rFonts w:ascii="Times New Roman" w:eastAsia="Times New Roman" w:hAnsi="Times New Roman" w:cs="Times New Roman"/>
          <w:sz w:val="24"/>
          <w:szCs w:val="24"/>
          <w:lang w:eastAsia="es-ES"/>
        </w:rPr>
        <w:t xml:space="preserve">, 2013; </w:t>
      </w:r>
      <w:proofErr w:type="spellStart"/>
      <w:r w:rsidRPr="004B77BB">
        <w:rPr>
          <w:rFonts w:ascii="Times New Roman" w:eastAsia="Times New Roman" w:hAnsi="Times New Roman" w:cs="Times New Roman"/>
          <w:sz w:val="24"/>
          <w:szCs w:val="24"/>
          <w:lang w:eastAsia="es-ES"/>
        </w:rPr>
        <w:t>Wolsko</w:t>
      </w:r>
      <w:proofErr w:type="spellEnd"/>
      <w:r w:rsidRPr="004B77BB">
        <w:rPr>
          <w:rFonts w:ascii="Times New Roman" w:eastAsia="Times New Roman" w:hAnsi="Times New Roman" w:cs="Times New Roman"/>
          <w:sz w:val="24"/>
          <w:szCs w:val="24"/>
          <w:lang w:eastAsia="es-ES"/>
        </w:rPr>
        <w:t xml:space="preserve"> et al., 2016).</w:t>
      </w:r>
    </w:p>
    <w:p w14:paraId="3E8D845E"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2.  </w:t>
      </w:r>
      <w:r w:rsidRPr="004B77BB">
        <w:rPr>
          <w:rFonts w:ascii="Times New Roman" w:eastAsia="Times New Roman" w:hAnsi="Times New Roman" w:cs="Times New Roman"/>
          <w:i/>
          <w:iCs/>
          <w:sz w:val="24"/>
          <w:szCs w:val="24"/>
          <w:lang w:eastAsia="es-ES"/>
        </w:rPr>
        <w:t>Resalta a los villanos. </w:t>
      </w:r>
      <w:r w:rsidRPr="004B77BB">
        <w:rPr>
          <w:rFonts w:ascii="Times New Roman" w:eastAsia="Times New Roman" w:hAnsi="Times New Roman" w:cs="Times New Roman"/>
          <w:sz w:val="24"/>
          <w:szCs w:val="24"/>
          <w:lang w:eastAsia="es-ES"/>
        </w:rPr>
        <w:t xml:space="preserve">Un ejemplo es la supresión sistemática de evidencia y el engaño público por parte de grupos como Exxon </w:t>
      </w:r>
      <w:proofErr w:type="spellStart"/>
      <w:r w:rsidRPr="004B77BB">
        <w:rPr>
          <w:rFonts w:ascii="Times New Roman" w:eastAsia="Times New Roman" w:hAnsi="Times New Roman" w:cs="Times New Roman"/>
          <w:sz w:val="24"/>
          <w:szCs w:val="24"/>
          <w:lang w:eastAsia="es-ES"/>
        </w:rPr>
        <w:t>Mobil</w:t>
      </w:r>
      <w:proofErr w:type="spellEnd"/>
      <w:r w:rsidRPr="004B77BB">
        <w:rPr>
          <w:rFonts w:ascii="Times New Roman" w:eastAsia="Times New Roman" w:hAnsi="Times New Roman" w:cs="Times New Roman"/>
          <w:sz w:val="24"/>
          <w:szCs w:val="24"/>
          <w:lang w:eastAsia="es-ES"/>
        </w:rPr>
        <w:t xml:space="preserve"> (como lo discutieron Naomi </w:t>
      </w:r>
      <w:proofErr w:type="spellStart"/>
      <w:r w:rsidRPr="004B77BB">
        <w:rPr>
          <w:rFonts w:ascii="Times New Roman" w:eastAsia="Times New Roman" w:hAnsi="Times New Roman" w:cs="Times New Roman"/>
          <w:sz w:val="24"/>
          <w:szCs w:val="24"/>
          <w:lang w:eastAsia="es-ES"/>
        </w:rPr>
        <w:t>Oreskes</w:t>
      </w:r>
      <w:proofErr w:type="spellEnd"/>
      <w:r w:rsidRPr="004B77BB">
        <w:rPr>
          <w:rFonts w:ascii="Times New Roman" w:eastAsia="Times New Roman" w:hAnsi="Times New Roman" w:cs="Times New Roman"/>
          <w:sz w:val="24"/>
          <w:szCs w:val="24"/>
          <w:lang w:eastAsia="es-ES"/>
        </w:rPr>
        <w:t xml:space="preserve"> y Erik Conway en su libro </w:t>
      </w:r>
      <w:proofErr w:type="spellStart"/>
      <w:r w:rsidRPr="004B77BB">
        <w:rPr>
          <w:rFonts w:ascii="Times New Roman" w:eastAsia="Times New Roman" w:hAnsi="Times New Roman" w:cs="Times New Roman"/>
          <w:i/>
          <w:iCs/>
          <w:sz w:val="24"/>
          <w:szCs w:val="24"/>
          <w:lang w:eastAsia="es-ES"/>
        </w:rPr>
        <w:t>Merchants</w:t>
      </w:r>
      <w:proofErr w:type="spellEnd"/>
      <w:r w:rsidRPr="004B77BB">
        <w:rPr>
          <w:rFonts w:ascii="Times New Roman" w:eastAsia="Times New Roman" w:hAnsi="Times New Roman" w:cs="Times New Roman"/>
          <w:i/>
          <w:iCs/>
          <w:sz w:val="24"/>
          <w:szCs w:val="24"/>
          <w:lang w:eastAsia="es-ES"/>
        </w:rPr>
        <w:t xml:space="preserve"> </w:t>
      </w:r>
      <w:proofErr w:type="spellStart"/>
      <w:r w:rsidRPr="004B77BB">
        <w:rPr>
          <w:rFonts w:ascii="Times New Roman" w:eastAsia="Times New Roman" w:hAnsi="Times New Roman" w:cs="Times New Roman"/>
          <w:i/>
          <w:iCs/>
          <w:sz w:val="24"/>
          <w:szCs w:val="24"/>
          <w:lang w:eastAsia="es-ES"/>
        </w:rPr>
        <w:t>of</w:t>
      </w:r>
      <w:proofErr w:type="spellEnd"/>
      <w:r w:rsidRPr="004B77BB">
        <w:rPr>
          <w:rFonts w:ascii="Times New Roman" w:eastAsia="Times New Roman" w:hAnsi="Times New Roman" w:cs="Times New Roman"/>
          <w:i/>
          <w:iCs/>
          <w:sz w:val="24"/>
          <w:szCs w:val="24"/>
          <w:lang w:eastAsia="es-ES"/>
        </w:rPr>
        <w:t xml:space="preserve"> </w:t>
      </w:r>
      <w:proofErr w:type="spellStart"/>
      <w:r w:rsidRPr="004B77BB">
        <w:rPr>
          <w:rFonts w:ascii="Times New Roman" w:eastAsia="Times New Roman" w:hAnsi="Times New Roman" w:cs="Times New Roman"/>
          <w:i/>
          <w:iCs/>
          <w:sz w:val="24"/>
          <w:szCs w:val="24"/>
          <w:lang w:eastAsia="es-ES"/>
        </w:rPr>
        <w:t>Doubt</w:t>
      </w:r>
      <w:proofErr w:type="spellEnd"/>
      <w:r w:rsidRPr="004B77BB">
        <w:rPr>
          <w:rFonts w:ascii="Times New Roman" w:eastAsia="Times New Roman" w:hAnsi="Times New Roman" w:cs="Times New Roman"/>
          <w:i/>
          <w:iCs/>
          <w:sz w:val="24"/>
          <w:szCs w:val="24"/>
          <w:lang w:eastAsia="es-ES"/>
        </w:rPr>
        <w:t xml:space="preserve"> de</w:t>
      </w:r>
      <w:r w:rsidRPr="004B77BB">
        <w:rPr>
          <w:rFonts w:ascii="Times New Roman" w:eastAsia="Times New Roman" w:hAnsi="Times New Roman" w:cs="Times New Roman"/>
          <w:sz w:val="24"/>
          <w:szCs w:val="24"/>
          <w:lang w:eastAsia="es-ES"/>
        </w:rPr>
        <w:t> </w:t>
      </w:r>
      <w:proofErr w:type="gramStart"/>
      <w:r w:rsidRPr="004B77BB">
        <w:rPr>
          <w:rFonts w:ascii="Times New Roman" w:eastAsia="Times New Roman" w:hAnsi="Times New Roman" w:cs="Times New Roman"/>
          <w:sz w:val="24"/>
          <w:szCs w:val="24"/>
          <w:lang w:eastAsia="es-ES"/>
        </w:rPr>
        <w:t>2010 )</w:t>
      </w:r>
      <w:proofErr w:type="gramEnd"/>
      <w:r w:rsidRPr="004B77BB">
        <w:rPr>
          <w:rFonts w:ascii="Times New Roman" w:eastAsia="Times New Roman" w:hAnsi="Times New Roman" w:cs="Times New Roman"/>
          <w:sz w:val="24"/>
          <w:szCs w:val="24"/>
          <w:lang w:eastAsia="es-ES"/>
        </w:rPr>
        <w:t>. Los héroes y los villanos son herramientas poderosas para capturar la imaginación humana: el cambio climático tiene ambos.</w:t>
      </w:r>
    </w:p>
    <w:p w14:paraId="561BCD35"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3.  </w:t>
      </w:r>
      <w:r w:rsidRPr="004B77BB">
        <w:rPr>
          <w:rFonts w:ascii="Times New Roman" w:eastAsia="Times New Roman" w:hAnsi="Times New Roman" w:cs="Times New Roman"/>
          <w:i/>
          <w:iCs/>
          <w:sz w:val="24"/>
          <w:szCs w:val="24"/>
          <w:lang w:eastAsia="es-ES"/>
        </w:rPr>
        <w:t>Apelar a objetivos ambientales a largo plazo intrínsecamente valorados. </w:t>
      </w:r>
      <w:r w:rsidRPr="004B77BB">
        <w:rPr>
          <w:rFonts w:ascii="Times New Roman" w:eastAsia="Times New Roman" w:hAnsi="Times New Roman" w:cs="Times New Roman"/>
          <w:sz w:val="24"/>
          <w:szCs w:val="24"/>
          <w:lang w:eastAsia="es-ES"/>
        </w:rPr>
        <w:t xml:space="preserve">Es tentador usar recompensas externas para motivar el comportamiento, pero las recompensas externas tienen dos problemas importantes. Primero, el comportamiento deseado a menudo desaparece cuando se elimina la recompensa externa (van </w:t>
      </w:r>
      <w:proofErr w:type="spellStart"/>
      <w:r w:rsidRPr="004B77BB">
        <w:rPr>
          <w:rFonts w:ascii="Times New Roman" w:eastAsia="Times New Roman" w:hAnsi="Times New Roman" w:cs="Times New Roman"/>
          <w:sz w:val="24"/>
          <w:szCs w:val="24"/>
          <w:lang w:eastAsia="es-ES"/>
        </w:rPr>
        <w:t>der</w:t>
      </w:r>
      <w:proofErr w:type="spellEnd"/>
      <w:r w:rsidRPr="004B77BB">
        <w:rPr>
          <w:rFonts w:ascii="Times New Roman" w:eastAsia="Times New Roman" w:hAnsi="Times New Roman" w:cs="Times New Roman"/>
          <w:sz w:val="24"/>
          <w:szCs w:val="24"/>
          <w:lang w:eastAsia="es-ES"/>
        </w:rPr>
        <w:t xml:space="preserve"> Linden et al., 2015), y rara vez es factible continuar con las recompensas indefinidamente. En segundo lugar, sabemos por la investigación de </w:t>
      </w:r>
      <w:proofErr w:type="spellStart"/>
      <w:r w:rsidRPr="004B77BB">
        <w:rPr>
          <w:rFonts w:ascii="Times New Roman" w:eastAsia="Times New Roman" w:hAnsi="Times New Roman" w:cs="Times New Roman"/>
          <w:sz w:val="24"/>
          <w:szCs w:val="24"/>
          <w:lang w:eastAsia="es-ES"/>
        </w:rPr>
        <w:t>Deci</w:t>
      </w:r>
      <w:proofErr w:type="spellEnd"/>
      <w:r w:rsidRPr="004B77BB">
        <w:rPr>
          <w:rFonts w:ascii="Times New Roman" w:eastAsia="Times New Roman" w:hAnsi="Times New Roman" w:cs="Times New Roman"/>
          <w:sz w:val="24"/>
          <w:szCs w:val="24"/>
          <w:lang w:eastAsia="es-ES"/>
        </w:rPr>
        <w:t xml:space="preserve"> y Ryan que la presencia de recompensas externas puede socavar la motivación intrínseca. Es más probable que se produzca un cambio de comportamiento duradero al conectar el comportamiento sostenible con objetivos moralmente deseables y ser un buen ciudadano (</w:t>
      </w:r>
      <w:proofErr w:type="spellStart"/>
      <w:r w:rsidRPr="004B77BB">
        <w:rPr>
          <w:rFonts w:ascii="Times New Roman" w:eastAsia="Times New Roman" w:hAnsi="Times New Roman" w:cs="Times New Roman"/>
          <w:sz w:val="24"/>
          <w:szCs w:val="24"/>
          <w:lang w:eastAsia="es-ES"/>
        </w:rPr>
        <w:t>Taufik</w:t>
      </w:r>
      <w:proofErr w:type="spellEnd"/>
      <w:r w:rsidRPr="004B77BB">
        <w:rPr>
          <w:rFonts w:ascii="Times New Roman" w:eastAsia="Times New Roman" w:hAnsi="Times New Roman" w:cs="Times New Roman"/>
          <w:sz w:val="24"/>
          <w:szCs w:val="24"/>
          <w:lang w:eastAsia="es-ES"/>
        </w:rPr>
        <w:t xml:space="preserve"> et al., 2015; van </w:t>
      </w:r>
      <w:proofErr w:type="spellStart"/>
      <w:r w:rsidRPr="004B77BB">
        <w:rPr>
          <w:rFonts w:ascii="Times New Roman" w:eastAsia="Times New Roman" w:hAnsi="Times New Roman" w:cs="Times New Roman"/>
          <w:sz w:val="24"/>
          <w:szCs w:val="24"/>
          <w:lang w:eastAsia="es-ES"/>
        </w:rPr>
        <w:t>der</w:t>
      </w:r>
      <w:proofErr w:type="spellEnd"/>
      <w:r w:rsidRPr="004B77BB">
        <w:rPr>
          <w:rFonts w:ascii="Times New Roman" w:eastAsia="Times New Roman" w:hAnsi="Times New Roman" w:cs="Times New Roman"/>
          <w:sz w:val="24"/>
          <w:szCs w:val="24"/>
          <w:lang w:eastAsia="es-ES"/>
        </w:rPr>
        <w:t xml:space="preserve"> Linden, 2018).</w:t>
      </w:r>
    </w:p>
    <w:p w14:paraId="039C59E7"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b/>
          <w:bCs/>
          <w:sz w:val="24"/>
          <w:szCs w:val="24"/>
          <w:lang w:eastAsia="es-ES"/>
        </w:rPr>
        <w:t>Hay pocos elogios sociales para la acción.</w:t>
      </w:r>
    </w:p>
    <w:p w14:paraId="203198C2"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Los seres humanos evolucionaron viviendo en grupos sociales, por lo que somos naturalmente sensibles a los pensamientos y comportamientos de otras personas, especialmente de nuestros amigos cercanos, familiares y otras personas importantes en nuestros valiosos grupos sociales. La pertenencia a grupos ayuda a dar forma a nuestras identidades sociales, y la mayoría de las veces hacemos lo que hacen los que nos rodean y prestamos atención a lo que los demás quieren que hagamos.</w:t>
      </w:r>
    </w:p>
    <w:p w14:paraId="29BE19E7"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 xml:space="preserve">Es importante destacar que la teoría del enfoque de la conducta normativa de Bob Cialdini destaca que las normas sociales solo dirigen el comportamiento humano cuando son activas y destacadas. Por ejemplo, en el ahora infame estudio de 'toallas de hotel', un mensaje simple que destacaba la siguiente norma: '75 por ciento de los huéspedes que se hospedan en esta habitación reutilizan su toalla', aumentó la reutilización de toallas en un notable 50 por ciento (Goldstein et al. </w:t>
      </w:r>
      <w:proofErr w:type="spellStart"/>
      <w:r w:rsidRPr="004B77BB">
        <w:rPr>
          <w:rFonts w:ascii="Times New Roman" w:eastAsia="Times New Roman" w:hAnsi="Times New Roman" w:cs="Times New Roman"/>
          <w:sz w:val="24"/>
          <w:szCs w:val="24"/>
          <w:lang w:eastAsia="es-ES"/>
        </w:rPr>
        <w:t>al</w:t>
      </w:r>
      <w:proofErr w:type="spellEnd"/>
      <w:r w:rsidRPr="004B77BB">
        <w:rPr>
          <w:rFonts w:ascii="Times New Roman" w:eastAsia="Times New Roman" w:hAnsi="Times New Roman" w:cs="Times New Roman"/>
          <w:sz w:val="24"/>
          <w:szCs w:val="24"/>
          <w:lang w:eastAsia="es-ES"/>
        </w:rPr>
        <w:t>., 2008). </w:t>
      </w:r>
    </w:p>
    <w:p w14:paraId="7CF47B12"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Desafortunadamente, las normas de sustentabilidad, ya sean </w:t>
      </w:r>
      <w:r w:rsidRPr="004B77BB">
        <w:rPr>
          <w:rFonts w:ascii="Times New Roman" w:eastAsia="Times New Roman" w:hAnsi="Times New Roman" w:cs="Times New Roman"/>
          <w:i/>
          <w:iCs/>
          <w:sz w:val="24"/>
          <w:szCs w:val="24"/>
          <w:lang w:eastAsia="es-ES"/>
        </w:rPr>
        <w:t>descriptivas</w:t>
      </w:r>
      <w:r w:rsidRPr="004B77BB">
        <w:rPr>
          <w:rFonts w:ascii="Times New Roman" w:eastAsia="Times New Roman" w:hAnsi="Times New Roman" w:cs="Times New Roman"/>
          <w:sz w:val="24"/>
          <w:szCs w:val="24"/>
          <w:lang w:eastAsia="es-ES"/>
        </w:rPr>
        <w:t> (información sobre lo que hacen otras personas) o </w:t>
      </w:r>
      <w:r w:rsidRPr="004B77BB">
        <w:rPr>
          <w:rFonts w:ascii="Times New Roman" w:eastAsia="Times New Roman" w:hAnsi="Times New Roman" w:cs="Times New Roman"/>
          <w:i/>
          <w:iCs/>
          <w:sz w:val="24"/>
          <w:szCs w:val="24"/>
          <w:lang w:eastAsia="es-ES"/>
        </w:rPr>
        <w:t>prescriptivas</w:t>
      </w:r>
      <w:r w:rsidRPr="004B77BB">
        <w:rPr>
          <w:rFonts w:ascii="Times New Roman" w:eastAsia="Times New Roman" w:hAnsi="Times New Roman" w:cs="Times New Roman"/>
          <w:sz w:val="24"/>
          <w:szCs w:val="24"/>
          <w:lang w:eastAsia="es-ES"/>
        </w:rPr>
        <w:t> (lo que otras personas piensan que deberías estar haciendo), no son ni activas ni destacadas en muchos lugares y contextos. De hecho, el comportamiento sostenible, como comer menos carne, suele ser </w:t>
      </w:r>
      <w:proofErr w:type="gramStart"/>
      <w:r w:rsidRPr="004B77BB">
        <w:rPr>
          <w:rFonts w:ascii="Times New Roman" w:eastAsia="Times New Roman" w:hAnsi="Times New Roman" w:cs="Times New Roman"/>
          <w:i/>
          <w:iCs/>
          <w:sz w:val="24"/>
          <w:szCs w:val="24"/>
          <w:lang w:eastAsia="es-ES"/>
        </w:rPr>
        <w:t>contraproducente .</w:t>
      </w:r>
      <w:proofErr w:type="gramEnd"/>
      <w:r w:rsidRPr="004B77BB">
        <w:rPr>
          <w:rFonts w:ascii="Times New Roman" w:eastAsia="Times New Roman" w:hAnsi="Times New Roman" w:cs="Times New Roman"/>
          <w:sz w:val="24"/>
          <w:szCs w:val="24"/>
          <w:lang w:eastAsia="es-ES"/>
        </w:rPr>
        <w:t>-normativo (</w:t>
      </w:r>
      <w:proofErr w:type="spellStart"/>
      <w:r w:rsidRPr="004B77BB">
        <w:rPr>
          <w:rFonts w:ascii="Times New Roman" w:eastAsia="Times New Roman" w:hAnsi="Times New Roman" w:cs="Times New Roman"/>
          <w:sz w:val="24"/>
          <w:szCs w:val="24"/>
          <w:lang w:eastAsia="es-ES"/>
        </w:rPr>
        <w:t>Sparkman</w:t>
      </w:r>
      <w:proofErr w:type="spellEnd"/>
      <w:r w:rsidRPr="004B77BB">
        <w:rPr>
          <w:rFonts w:ascii="Times New Roman" w:eastAsia="Times New Roman" w:hAnsi="Times New Roman" w:cs="Times New Roman"/>
          <w:sz w:val="24"/>
          <w:szCs w:val="24"/>
          <w:lang w:eastAsia="es-ES"/>
        </w:rPr>
        <w:t xml:space="preserve"> &amp; Walton, 2017). Esto es importante porque una de las soluciones psicológicas más exitosas para las situaciones de dilema social es establecer una norma de cooperación (</w:t>
      </w:r>
      <w:proofErr w:type="spellStart"/>
      <w:r w:rsidRPr="004B77BB">
        <w:rPr>
          <w:rFonts w:ascii="Times New Roman" w:eastAsia="Times New Roman" w:hAnsi="Times New Roman" w:cs="Times New Roman"/>
          <w:sz w:val="24"/>
          <w:szCs w:val="24"/>
          <w:lang w:eastAsia="es-ES"/>
        </w:rPr>
        <w:t>Fehr</w:t>
      </w:r>
      <w:proofErr w:type="spellEnd"/>
      <w:r w:rsidRPr="004B77BB">
        <w:rPr>
          <w:rFonts w:ascii="Times New Roman" w:eastAsia="Times New Roman" w:hAnsi="Times New Roman" w:cs="Times New Roman"/>
          <w:sz w:val="24"/>
          <w:szCs w:val="24"/>
          <w:lang w:eastAsia="es-ES"/>
        </w:rPr>
        <w:t xml:space="preserve"> &amp; </w:t>
      </w:r>
      <w:proofErr w:type="spellStart"/>
      <w:r w:rsidRPr="004B77BB">
        <w:rPr>
          <w:rFonts w:ascii="Times New Roman" w:eastAsia="Times New Roman" w:hAnsi="Times New Roman" w:cs="Times New Roman"/>
          <w:sz w:val="24"/>
          <w:szCs w:val="24"/>
          <w:lang w:eastAsia="es-ES"/>
        </w:rPr>
        <w:t>Fischbacher</w:t>
      </w:r>
      <w:proofErr w:type="spellEnd"/>
      <w:r w:rsidRPr="004B77BB">
        <w:rPr>
          <w:rFonts w:ascii="Times New Roman" w:eastAsia="Times New Roman" w:hAnsi="Times New Roman" w:cs="Times New Roman"/>
          <w:sz w:val="24"/>
          <w:szCs w:val="24"/>
          <w:lang w:eastAsia="es-ES"/>
        </w:rPr>
        <w:t xml:space="preserve">, 2004). Sin </w:t>
      </w:r>
      <w:r w:rsidRPr="004B77BB">
        <w:rPr>
          <w:rFonts w:ascii="Times New Roman" w:eastAsia="Times New Roman" w:hAnsi="Times New Roman" w:cs="Times New Roman"/>
          <w:sz w:val="24"/>
          <w:szCs w:val="24"/>
          <w:lang w:eastAsia="es-ES"/>
        </w:rPr>
        <w:lastRenderedPageBreak/>
        <w:t>embargo, tales normas no pueden aprovecharse si no son activas y destacadas en primer lugar. Además, en la actualidad hay poco juicio social asociado con el consumo insostenible; es decir, no serás juzgado con desdén por tus vecinos si comes carne o no reciclas. Por lo tanto, una estrategia importante es señalar la conveniencia de normas sostenibles, comunicar que otros también valoran los comportamientos de conservación y resaltar situaciones en las que las personas actúan de forma sostenible. </w:t>
      </w:r>
    </w:p>
    <w:p w14:paraId="4A225EAB"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eastAsia="es-ES"/>
        </w:rPr>
        <w:t>Así es como podemos promover las normas sociales en torno a la sostenibilidad:</w:t>
      </w:r>
    </w:p>
    <w:p w14:paraId="2396AD26"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1.  </w:t>
      </w:r>
      <w:r w:rsidRPr="004B77BB">
        <w:rPr>
          <w:rFonts w:ascii="Times New Roman" w:eastAsia="Times New Roman" w:hAnsi="Times New Roman" w:cs="Times New Roman"/>
          <w:i/>
          <w:iCs/>
          <w:sz w:val="24"/>
          <w:szCs w:val="24"/>
          <w:lang w:val="en-US" w:eastAsia="es-ES"/>
        </w:rPr>
        <w:t>Leverage relevant social group norms.</w:t>
      </w:r>
      <w:r w:rsidRPr="004B77BB">
        <w:rPr>
          <w:rFonts w:ascii="Times New Roman" w:eastAsia="Times New Roman" w:hAnsi="Times New Roman" w:cs="Times New Roman"/>
          <w:sz w:val="24"/>
          <w:szCs w:val="24"/>
          <w:lang w:val="en-US" w:eastAsia="es-ES"/>
        </w:rPr>
        <w:t> Signal the desirability of sustainable norms by communicating what others are doing to help and tying those behaviours to valued groups, such as the local community or town. Because people are more attentive to norms that are relevant to their own group, it may help to expand definitions of the ‘ingroup’ by appealing to larger collective identities; for example, joining together in the fight against climate change as ‘UK citizens’ or ‘Europeans’ (Markowitz &amp; Sharif, 2012). </w:t>
      </w:r>
    </w:p>
    <w:p w14:paraId="667D5B47"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2.  </w:t>
      </w:r>
      <w:r w:rsidRPr="004B77BB">
        <w:rPr>
          <w:rFonts w:ascii="Times New Roman" w:eastAsia="Times New Roman" w:hAnsi="Times New Roman" w:cs="Times New Roman"/>
          <w:i/>
          <w:iCs/>
          <w:sz w:val="24"/>
          <w:szCs w:val="24"/>
          <w:lang w:val="en-US" w:eastAsia="es-ES"/>
        </w:rPr>
        <w:t>Avoid pairing desired behaviours with unwanted identities</w:t>
      </w:r>
      <w:r w:rsidRPr="004B77BB">
        <w:rPr>
          <w:rFonts w:ascii="Times New Roman" w:eastAsia="Times New Roman" w:hAnsi="Times New Roman" w:cs="Times New Roman"/>
          <w:sz w:val="24"/>
          <w:szCs w:val="24"/>
          <w:lang w:val="en-US" w:eastAsia="es-ES"/>
        </w:rPr>
        <w:t> (Brick et al., 2017). A person with a conservative ideology might be in favour of conserving resources, but if they don’t want to be seen as an environmentalist, they won’t carry a reusable bag emblazoned with an image of Mother Earth.</w:t>
      </w:r>
    </w:p>
    <w:p w14:paraId="72238FC7"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3.  </w:t>
      </w:r>
      <w:r w:rsidRPr="004B77BB">
        <w:rPr>
          <w:rFonts w:ascii="Times New Roman" w:eastAsia="Times New Roman" w:hAnsi="Times New Roman" w:cs="Times New Roman"/>
          <w:i/>
          <w:iCs/>
          <w:sz w:val="24"/>
          <w:szCs w:val="24"/>
          <w:lang w:val="en-US" w:eastAsia="es-ES"/>
        </w:rPr>
        <w:t>Support advocates across social, religious and political boundaries</w:t>
      </w:r>
      <w:r w:rsidRPr="004B77BB">
        <w:rPr>
          <w:rFonts w:ascii="Times New Roman" w:eastAsia="Times New Roman" w:hAnsi="Times New Roman" w:cs="Times New Roman"/>
          <w:sz w:val="24"/>
          <w:szCs w:val="24"/>
          <w:lang w:val="en-US" w:eastAsia="es-ES"/>
        </w:rPr>
        <w:t>. Speaking only with others similar to you makes it harder to simulate what diverse others are thinking. Facts are almost worthless if the audience sees the communicator as part of a rival outgroup. For example, Al Gore is so widely reviled among Republicans that even evidence-based messages associated with him could potentially be rejected out of hand. Instead of politicians, some research shows that scientists can be non-partisan mediators of consensus (van der Linden et al., 2018).</w:t>
      </w:r>
    </w:p>
    <w:p w14:paraId="594FAF17"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b/>
          <w:bCs/>
          <w:sz w:val="24"/>
          <w:szCs w:val="24"/>
          <w:lang w:val="en-US" w:eastAsia="es-ES"/>
        </w:rPr>
        <w:t>Our brains intuitively underestimate climate change</w:t>
      </w:r>
    </w:p>
    <w:p w14:paraId="60FCF17A"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Behavioural economist Dan Ariely once wrote that it is pretty difficult to predict what peanut butter tastes like based solely on reading the ingredients. The point is that the human brain strongly prefers experience over analysis. Mark Twain intuitively understood this when he joked: ‘A man who carries a cat by the tail learns something he can learn in no other way.’ </w:t>
      </w:r>
    </w:p>
    <w:p w14:paraId="62C8B347"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Unfortunately, climate change is an abstract statistical phenomenon that does not easily trigger our intuitive, associative and affective warning system, which is largely based on experience and evolved to map visible environmental cues into concrete threats (Marx et al., 2007). In addition, the ‘psychological distance’ of climate change (Spence et al., 2012) spans social, temporal and spatial dimensions so that people think climate change is more likely to happen to other people in other places at some point in the distant future. Thus a host of familiar cognitive biases make climate change seem less important, including heavily discounting future risk and rewards, undue optimism bias about our ability to mitigate potential harms, justifying the status quo, and affective forecasting errors that lead us to assume that the future will generally resemble the present. </w:t>
      </w:r>
    </w:p>
    <w:p w14:paraId="4892A274"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 xml:space="preserve">The research challenge is to help people grapple with a largely faceless enemy that strikes gradually. Van Lange and colleagues (2018) point out that we need to cross psychological borders of thought, space and time. For example, climate change is often portrayed in the media as a future, distant, global, nonpersonal and analytical risk, and </w:t>
      </w:r>
      <w:r w:rsidRPr="004B77BB">
        <w:rPr>
          <w:rFonts w:ascii="Times New Roman" w:eastAsia="Times New Roman" w:hAnsi="Times New Roman" w:cs="Times New Roman"/>
          <w:sz w:val="24"/>
          <w:szCs w:val="24"/>
          <w:lang w:val="en-US" w:eastAsia="es-ES"/>
        </w:rPr>
        <w:lastRenderedPageBreak/>
        <w:t>seen more as a loss than an opportunity. Research suggests that there are benefits to reversing these associations. Emphasising present, local and personal harms and benefits will become increasingly easier as climate changes unfold.</w:t>
      </w:r>
    </w:p>
    <w:p w14:paraId="3C6F190D"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To counteract these biases in human cognition, we should:</w:t>
      </w:r>
    </w:p>
    <w:p w14:paraId="0D20EA8E"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1.  </w:t>
      </w:r>
      <w:r w:rsidRPr="004B77BB">
        <w:rPr>
          <w:rFonts w:ascii="Times New Roman" w:eastAsia="Times New Roman" w:hAnsi="Times New Roman" w:cs="Times New Roman"/>
          <w:i/>
          <w:iCs/>
          <w:sz w:val="24"/>
          <w:szCs w:val="24"/>
          <w:lang w:val="en-US" w:eastAsia="es-ES"/>
        </w:rPr>
        <w:t>Facilitate more affective and experiential engagement.</w:t>
      </w:r>
      <w:r w:rsidRPr="004B77BB">
        <w:rPr>
          <w:rFonts w:ascii="Times New Roman" w:eastAsia="Times New Roman" w:hAnsi="Times New Roman" w:cs="Times New Roman"/>
          <w:sz w:val="24"/>
          <w:szCs w:val="24"/>
          <w:lang w:val="en-US" w:eastAsia="es-ES"/>
        </w:rPr>
        <w:t> Make connections between people’s lives and the environment, for example by highlighting increasing trends in the frequency and severity of extreme weather events or changes in local biodiversity and food production. Bring people to nature, as nature experiences can facilitate human cooperation (Zelenski et al., 2015) and help individuals form personal and affective experiences to supplement their abstract understanding of climate change.  </w:t>
      </w:r>
    </w:p>
    <w:p w14:paraId="42D31377"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2.  </w:t>
      </w:r>
      <w:r w:rsidRPr="004B77BB">
        <w:rPr>
          <w:rFonts w:ascii="Times New Roman" w:eastAsia="Times New Roman" w:hAnsi="Times New Roman" w:cs="Times New Roman"/>
          <w:i/>
          <w:iCs/>
          <w:sz w:val="24"/>
          <w:szCs w:val="24"/>
          <w:lang w:val="en-US" w:eastAsia="es-ES"/>
        </w:rPr>
        <w:t>Reduce psychological distance.</w:t>
      </w:r>
      <w:r w:rsidRPr="004B77BB">
        <w:rPr>
          <w:rFonts w:ascii="Times New Roman" w:eastAsia="Times New Roman" w:hAnsi="Times New Roman" w:cs="Times New Roman"/>
          <w:sz w:val="24"/>
          <w:szCs w:val="24"/>
          <w:lang w:val="en-US" w:eastAsia="es-ES"/>
        </w:rPr>
        <w:t> Think global, act local. Emphasising concrete local impacts and local opportunities to help can be effective, but keep in mind that there is a trade-off between proximising the impacts of climate change and encouraging people to view climate change as an important global issue (Brügger et al., 2015). </w:t>
      </w:r>
    </w:p>
    <w:p w14:paraId="369E99D1"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3.  </w:t>
      </w:r>
      <w:r w:rsidRPr="004B77BB">
        <w:rPr>
          <w:rFonts w:ascii="Times New Roman" w:eastAsia="Times New Roman" w:hAnsi="Times New Roman" w:cs="Times New Roman"/>
          <w:i/>
          <w:iCs/>
          <w:sz w:val="24"/>
          <w:szCs w:val="24"/>
          <w:lang w:val="en-US" w:eastAsia="es-ES"/>
        </w:rPr>
        <w:t>Frame policy solutions in terms of what can be gained from immediate action.</w:t>
      </w:r>
      <w:r w:rsidRPr="004B77BB">
        <w:rPr>
          <w:rFonts w:ascii="Times New Roman" w:eastAsia="Times New Roman" w:hAnsi="Times New Roman" w:cs="Times New Roman"/>
          <w:sz w:val="24"/>
          <w:szCs w:val="24"/>
          <w:lang w:val="en-US" w:eastAsia="es-ES"/>
        </w:rPr>
        <w:t> Nobody likes losing, but most people enjoy winning. Policy options should be framed in terms of expected benefits, for example to public health, rather than expected losses. This includes more than physical health and economic growth: for example, Bain et al. (2015) found that emphasising the interpersonal and social benefits of climate action appeared effective for communicating with the disengaged across 24 countries.</w:t>
      </w:r>
    </w:p>
    <w:p w14:paraId="7D7FBBBE"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b/>
          <w:bCs/>
          <w:sz w:val="24"/>
          <w:szCs w:val="24"/>
          <w:lang w:eastAsia="es-ES"/>
        </w:rPr>
        <w:t xml:space="preserve">A </w:t>
      </w:r>
      <w:proofErr w:type="spellStart"/>
      <w:r w:rsidRPr="004B77BB">
        <w:rPr>
          <w:rFonts w:ascii="Times New Roman" w:eastAsia="Times New Roman" w:hAnsi="Times New Roman" w:cs="Times New Roman"/>
          <w:b/>
          <w:bCs/>
          <w:sz w:val="24"/>
          <w:szCs w:val="24"/>
          <w:lang w:eastAsia="es-ES"/>
        </w:rPr>
        <w:t>wicked</w:t>
      </w:r>
      <w:proofErr w:type="spellEnd"/>
      <w:r w:rsidRPr="004B77BB">
        <w:rPr>
          <w:rFonts w:ascii="Times New Roman" w:eastAsia="Times New Roman" w:hAnsi="Times New Roman" w:cs="Times New Roman"/>
          <w:b/>
          <w:bCs/>
          <w:sz w:val="24"/>
          <w:szCs w:val="24"/>
          <w:lang w:eastAsia="es-ES"/>
        </w:rPr>
        <w:t xml:space="preserve"> </w:t>
      </w:r>
      <w:proofErr w:type="spellStart"/>
      <w:r w:rsidRPr="004B77BB">
        <w:rPr>
          <w:rFonts w:ascii="Times New Roman" w:eastAsia="Times New Roman" w:hAnsi="Times New Roman" w:cs="Times New Roman"/>
          <w:b/>
          <w:bCs/>
          <w:sz w:val="24"/>
          <w:szCs w:val="24"/>
          <w:lang w:eastAsia="es-ES"/>
        </w:rPr>
        <w:t>truth</w:t>
      </w:r>
      <w:proofErr w:type="spellEnd"/>
    </w:p>
    <w:p w14:paraId="2852598B"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The massive intergroup trade-offs of climate change are driving a renewed interest in the tragedy of the commons and governance of resources from local to international policy. These topics spill way beyond environmental psychology: they bridge findings and questions across social, cognitive and cultural psychology. Psychologists of all stripes can see opportunities in studying climate change in topics ranging from individual differences such as ‘green personalities’ (Brick &amp; Lewis, 2016), mental health (projections and treatment plans), identity and intergroup processes such as polarisation and negotiation, and behaviour change at both the individual and political level. For example, a recent special issue in </w:t>
      </w:r>
      <w:r w:rsidRPr="004B77BB">
        <w:rPr>
          <w:rFonts w:ascii="Times New Roman" w:eastAsia="Times New Roman" w:hAnsi="Times New Roman" w:cs="Times New Roman"/>
          <w:i/>
          <w:iCs/>
          <w:sz w:val="24"/>
          <w:szCs w:val="24"/>
          <w:lang w:val="en-US" w:eastAsia="es-ES"/>
        </w:rPr>
        <w:t>Group Processes and Intergroup Relations</w:t>
      </w:r>
      <w:r w:rsidRPr="004B77BB">
        <w:rPr>
          <w:rFonts w:ascii="Times New Roman" w:eastAsia="Times New Roman" w:hAnsi="Times New Roman" w:cs="Times New Roman"/>
          <w:sz w:val="24"/>
          <w:szCs w:val="24"/>
          <w:lang w:val="en-US" w:eastAsia="es-ES"/>
        </w:rPr>
        <w:t> was dedicated to how climate change research can inform psychology and vice versa (Pearson &amp; Schuldt, 2018). Work on climate change can also inform cross-cultural psychology: for example, the association between pro-environmental beliefs and behaviours varies wildly by country (Eom et al., 2016). </w:t>
      </w:r>
    </w:p>
    <w:p w14:paraId="7A41E429"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Finally, a robust science of how people respond to environmental issues should think of individuals as embedded within changing social structures. Some environmentalists argue that our power as individual consumers is extremely limited, with George Monbiot suggesting that beyond a reduction of air travel, meat consumption and car use very little is going to have an impact. Change is required at a corporate and national level.</w:t>
      </w:r>
    </w:p>
    <w:p w14:paraId="4CDB01B7"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Social movements have tipping points (van der Linden, 2017): think of how quickly opinions have shifted on same-sex marriage. A key opportunity is to study how and when people engage in collective action (Lubell et al., 2007; van Zomeren et al., 2008). The changing climate also offers a unique social context in which to test general models of attitudes, behaviours and social influence. </w:t>
      </w:r>
    </w:p>
    <w:p w14:paraId="08DD9709"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lastRenderedPageBreak/>
        <w:t>In short, climate change is an immensely wicked problem. But psychologists have a tremendous opportunity to serve society through telling the human story of how people come to perceive the world and why they behave the way they do.</w:t>
      </w:r>
    </w:p>
    <w:p w14:paraId="37F7E7AC"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b/>
          <w:bCs/>
          <w:sz w:val="24"/>
          <w:szCs w:val="24"/>
          <w:lang w:val="en-US" w:eastAsia="es-ES"/>
        </w:rPr>
        <w:t>About the authors</w:t>
      </w:r>
    </w:p>
    <w:p w14:paraId="3C7F7C30"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‘I see climate change as the defining problem of our era. In graduate school I became aware that many barriers to sustainability are more social and psychological than technological, and I think a robust science of decision making and collective behaviour is necessary to overcome our challenges.’</w:t>
      </w:r>
    </w:p>
    <w:p w14:paraId="01CC1AF4"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 Cameron Brick </w:t>
      </w:r>
      <w:r w:rsidRPr="004B77BB">
        <w:rPr>
          <w:rFonts w:ascii="Times New Roman" w:eastAsia="Times New Roman" w:hAnsi="Times New Roman" w:cs="Times New Roman"/>
          <w:i/>
          <w:iCs/>
          <w:sz w:val="24"/>
          <w:szCs w:val="24"/>
          <w:lang w:val="en-US" w:eastAsia="es-ES"/>
        </w:rPr>
        <w:t>is in the Department of Psychology, University of Cambridge </w:t>
      </w:r>
      <w:r w:rsidRPr="004B77BB">
        <w:rPr>
          <w:rFonts w:ascii="Times New Roman" w:eastAsia="Times New Roman" w:hAnsi="Times New Roman" w:cs="Times New Roman"/>
          <w:i/>
          <w:iCs/>
          <w:sz w:val="24"/>
          <w:szCs w:val="24"/>
          <w:lang w:val="en-US" w:eastAsia="es-ES"/>
        </w:rPr>
        <w:br/>
      </w:r>
      <w:hyperlink r:id="rId5" w:tgtFrame="_blank" w:history="1">
        <w:r w:rsidRPr="004B77BB">
          <w:rPr>
            <w:rFonts w:ascii="Times New Roman" w:eastAsia="Times New Roman" w:hAnsi="Times New Roman" w:cs="Times New Roman"/>
            <w:color w:val="4E2F8C"/>
            <w:sz w:val="24"/>
            <w:szCs w:val="24"/>
            <w:u w:val="single"/>
            <w:lang w:val="en-US" w:eastAsia="es-ES"/>
          </w:rPr>
          <w:t>cb954@cam.ac.uk</w:t>
        </w:r>
      </w:hyperlink>
    </w:p>
    <w:p w14:paraId="0E32AA22"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‘Climate change is the ultimate psychological dilemma: it’s abstract, depersonalised, long-term, there’s intertemporal trade-offs, intergroup conflict, and a lack of social incentives. I came to realise that if we can understand the psychology of climate change, we can potentially solve many difficult puzzles about human behaviour and make a difference all at the same time.’</w:t>
      </w:r>
    </w:p>
    <w:p w14:paraId="48B58344"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 Sander van der Linden </w:t>
      </w:r>
      <w:r w:rsidRPr="004B77BB">
        <w:rPr>
          <w:rFonts w:ascii="Times New Roman" w:eastAsia="Times New Roman" w:hAnsi="Times New Roman" w:cs="Times New Roman"/>
          <w:i/>
          <w:iCs/>
          <w:sz w:val="24"/>
          <w:szCs w:val="24"/>
          <w:lang w:val="en-US" w:eastAsia="es-ES"/>
        </w:rPr>
        <w:t>is in the Department of Psychology, University of Cambridge</w:t>
      </w:r>
      <w:r w:rsidRPr="004B77BB">
        <w:rPr>
          <w:rFonts w:ascii="Times New Roman" w:eastAsia="Times New Roman" w:hAnsi="Times New Roman" w:cs="Times New Roman"/>
          <w:i/>
          <w:iCs/>
          <w:sz w:val="24"/>
          <w:szCs w:val="24"/>
          <w:lang w:val="en-US" w:eastAsia="es-ES"/>
        </w:rPr>
        <w:br/>
      </w:r>
      <w:hyperlink r:id="rId6" w:tgtFrame="_blank" w:history="1">
        <w:r w:rsidRPr="004B77BB">
          <w:rPr>
            <w:rFonts w:ascii="Times New Roman" w:eastAsia="Times New Roman" w:hAnsi="Times New Roman" w:cs="Times New Roman"/>
            <w:color w:val="4E2F8C"/>
            <w:sz w:val="24"/>
            <w:szCs w:val="24"/>
            <w:u w:val="single"/>
            <w:lang w:val="en-US" w:eastAsia="es-ES"/>
          </w:rPr>
          <w:t>sander.vanderlinden@psychol.cam.ac.uk</w:t>
        </w:r>
      </w:hyperlink>
      <w:r w:rsidRPr="004B77BB">
        <w:rPr>
          <w:rFonts w:ascii="Times New Roman" w:eastAsia="Times New Roman" w:hAnsi="Times New Roman" w:cs="Times New Roman"/>
          <w:sz w:val="24"/>
          <w:szCs w:val="24"/>
          <w:lang w:val="en-US" w:eastAsia="es-ES"/>
        </w:rPr>
        <w:t> </w:t>
      </w:r>
    </w:p>
    <w:p w14:paraId="767998EC"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b/>
          <w:bCs/>
          <w:sz w:val="24"/>
          <w:szCs w:val="24"/>
          <w:lang w:val="en-US" w:eastAsia="es-ES"/>
        </w:rPr>
        <w:t>Illustration</w:t>
      </w:r>
      <w:r w:rsidRPr="004B77BB">
        <w:rPr>
          <w:rFonts w:ascii="Times New Roman" w:eastAsia="Times New Roman" w:hAnsi="Times New Roman" w:cs="Times New Roman"/>
          <w:sz w:val="24"/>
          <w:szCs w:val="24"/>
          <w:lang w:val="en-US" w:eastAsia="es-ES"/>
        </w:rPr>
        <w:t>: </w:t>
      </w:r>
      <w:hyperlink r:id="rId7" w:tgtFrame="_blank" w:history="1">
        <w:r w:rsidRPr="004B77BB">
          <w:rPr>
            <w:rFonts w:ascii="Times New Roman" w:eastAsia="Times New Roman" w:hAnsi="Times New Roman" w:cs="Times New Roman"/>
            <w:color w:val="4E2F8C"/>
            <w:sz w:val="24"/>
            <w:szCs w:val="24"/>
            <w:u w:val="single"/>
            <w:lang w:val="en-US" w:eastAsia="es-ES"/>
          </w:rPr>
          <w:t>Eliza Southwood</w:t>
        </w:r>
      </w:hyperlink>
    </w:p>
    <w:p w14:paraId="31EC920B"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b/>
          <w:bCs/>
          <w:sz w:val="24"/>
          <w:szCs w:val="24"/>
          <w:lang w:val="en-US" w:eastAsia="es-ES"/>
        </w:rPr>
        <w:t>References</w:t>
      </w:r>
    </w:p>
    <w:p w14:paraId="5BAB70A8"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Bain, P.G., Milfont, T.L., Kashima, Y. et al. (2015). Co-benefits of addressing climate change can motivate action around the world. Nature Climate Change, 6, 154. doi:10.1038/nclimate2814</w:t>
      </w:r>
    </w:p>
    <w:p w14:paraId="5B0DD3DE"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Brick, C. &amp; Lewis, G. J. (2016). Unearthing the ‘green’ personality: Core traits predict environmentally friendly behavior. Environment and Behavior, 48(5), 635–658. doi:10.1177/0013916514554695</w:t>
      </w:r>
    </w:p>
    <w:p w14:paraId="3C85C8A3"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Brick, C., Sherman, D.K. &amp; Kim, H.S. (2017). ‘Green to be seen’ and ‘brown to keep down’: Visibility moderates the effect of identity on pro-environmental behavior. Journal of Environmental Psychology, 51, 226–238. doi:10.1016/j.jenvp.2017.04.004</w:t>
      </w:r>
    </w:p>
    <w:p w14:paraId="736ED8A6"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Brügger, A., Dessai, S., Devine-Wright, P. et al. (2015). Psychological responses to the proximity of climate change. Nature Climate Change, 5(12), 1031–1037.</w:t>
      </w:r>
    </w:p>
    <w:p w14:paraId="7E7A446C"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Deci, E.L., Koestner, R. &amp; Ryan, R.M. (1999). A meta-analytic review of experiments examining the effects of extrinsic rewards on intrinsic motivation. Psychological Bulletin, 125(6), 627–68; discussion 692–700.</w:t>
      </w:r>
    </w:p>
    <w:p w14:paraId="339FE7A2"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val="en-US" w:eastAsia="es-ES"/>
        </w:rPr>
        <w:t xml:space="preserve">Eom, K., Kim, H.S., Sherman, D.K. &amp; Ishii, K. (2016). Cultural variability in the link between environmental beliefs and support for environmental action. </w:t>
      </w:r>
      <w:proofErr w:type="spellStart"/>
      <w:r w:rsidRPr="004B77BB">
        <w:rPr>
          <w:rFonts w:ascii="Times New Roman" w:eastAsia="Times New Roman" w:hAnsi="Times New Roman" w:cs="Times New Roman"/>
          <w:sz w:val="24"/>
          <w:szCs w:val="24"/>
          <w:lang w:eastAsia="es-ES"/>
        </w:rPr>
        <w:t>Psychological</w:t>
      </w:r>
      <w:proofErr w:type="spellEnd"/>
      <w:r w:rsidRPr="004B77BB">
        <w:rPr>
          <w:rFonts w:ascii="Times New Roman" w:eastAsia="Times New Roman" w:hAnsi="Times New Roman" w:cs="Times New Roman"/>
          <w:sz w:val="24"/>
          <w:szCs w:val="24"/>
          <w:lang w:eastAsia="es-ES"/>
        </w:rPr>
        <w:t xml:space="preserve"> </w:t>
      </w:r>
      <w:proofErr w:type="spellStart"/>
      <w:r w:rsidRPr="004B77BB">
        <w:rPr>
          <w:rFonts w:ascii="Times New Roman" w:eastAsia="Times New Roman" w:hAnsi="Times New Roman" w:cs="Times New Roman"/>
          <w:sz w:val="24"/>
          <w:szCs w:val="24"/>
          <w:lang w:eastAsia="es-ES"/>
        </w:rPr>
        <w:t>Science</w:t>
      </w:r>
      <w:proofErr w:type="spellEnd"/>
      <w:r w:rsidRPr="004B77BB">
        <w:rPr>
          <w:rFonts w:ascii="Times New Roman" w:eastAsia="Times New Roman" w:hAnsi="Times New Roman" w:cs="Times New Roman"/>
          <w:sz w:val="24"/>
          <w:szCs w:val="24"/>
          <w:lang w:eastAsia="es-ES"/>
        </w:rPr>
        <w:t>, 27, 1331–1339. doi:10.1177/0956797616660078</w:t>
      </w:r>
    </w:p>
    <w:p w14:paraId="18860A32"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val="en-US" w:eastAsia="es-ES"/>
        </w:rPr>
        <w:t xml:space="preserve">Fehr, E. &amp; Fischbacher, U. (2004). Social norms and human cooperation. </w:t>
      </w:r>
      <w:proofErr w:type="spellStart"/>
      <w:r w:rsidRPr="004B77BB">
        <w:rPr>
          <w:rFonts w:ascii="Times New Roman" w:eastAsia="Times New Roman" w:hAnsi="Times New Roman" w:cs="Times New Roman"/>
          <w:sz w:val="24"/>
          <w:szCs w:val="24"/>
          <w:lang w:eastAsia="es-ES"/>
        </w:rPr>
        <w:t>Trends</w:t>
      </w:r>
      <w:proofErr w:type="spellEnd"/>
      <w:r w:rsidRPr="004B77BB">
        <w:rPr>
          <w:rFonts w:ascii="Times New Roman" w:eastAsia="Times New Roman" w:hAnsi="Times New Roman" w:cs="Times New Roman"/>
          <w:sz w:val="24"/>
          <w:szCs w:val="24"/>
          <w:lang w:eastAsia="es-ES"/>
        </w:rPr>
        <w:t xml:space="preserve"> in </w:t>
      </w:r>
      <w:proofErr w:type="spellStart"/>
      <w:r w:rsidRPr="004B77BB">
        <w:rPr>
          <w:rFonts w:ascii="Times New Roman" w:eastAsia="Times New Roman" w:hAnsi="Times New Roman" w:cs="Times New Roman"/>
          <w:sz w:val="24"/>
          <w:szCs w:val="24"/>
          <w:lang w:eastAsia="es-ES"/>
        </w:rPr>
        <w:t>Cognitive</w:t>
      </w:r>
      <w:proofErr w:type="spellEnd"/>
      <w:r w:rsidRPr="004B77BB">
        <w:rPr>
          <w:rFonts w:ascii="Times New Roman" w:eastAsia="Times New Roman" w:hAnsi="Times New Roman" w:cs="Times New Roman"/>
          <w:sz w:val="24"/>
          <w:szCs w:val="24"/>
          <w:lang w:eastAsia="es-ES"/>
        </w:rPr>
        <w:t xml:space="preserve"> </w:t>
      </w:r>
      <w:proofErr w:type="spellStart"/>
      <w:r w:rsidRPr="004B77BB">
        <w:rPr>
          <w:rFonts w:ascii="Times New Roman" w:eastAsia="Times New Roman" w:hAnsi="Times New Roman" w:cs="Times New Roman"/>
          <w:sz w:val="24"/>
          <w:szCs w:val="24"/>
          <w:lang w:eastAsia="es-ES"/>
        </w:rPr>
        <w:t>Sciences</w:t>
      </w:r>
      <w:proofErr w:type="spellEnd"/>
      <w:r w:rsidRPr="004B77BB">
        <w:rPr>
          <w:rFonts w:ascii="Times New Roman" w:eastAsia="Times New Roman" w:hAnsi="Times New Roman" w:cs="Times New Roman"/>
          <w:sz w:val="24"/>
          <w:szCs w:val="24"/>
          <w:lang w:eastAsia="es-ES"/>
        </w:rPr>
        <w:t>, 8(4), 185–190.</w:t>
      </w:r>
    </w:p>
    <w:p w14:paraId="6941D98F"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Feinberg, M. &amp; Willer, R. (2013). The moral roots of environmental attitudes. Psychological Science, 24(1), 56–62. doi:10.1177/0956797612449177</w:t>
      </w:r>
    </w:p>
    <w:p w14:paraId="1E442209"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val="en-US" w:eastAsia="es-ES"/>
        </w:rPr>
        <w:t xml:space="preserve">Gifford, R. (2011). The dragons of inaction: Psychological barriers that limit climate change mitigation and adaptation. </w:t>
      </w:r>
      <w:r w:rsidRPr="004B77BB">
        <w:rPr>
          <w:rFonts w:ascii="Times New Roman" w:eastAsia="Times New Roman" w:hAnsi="Times New Roman" w:cs="Times New Roman"/>
          <w:sz w:val="24"/>
          <w:szCs w:val="24"/>
          <w:lang w:eastAsia="es-ES"/>
        </w:rPr>
        <w:t xml:space="preserve">American </w:t>
      </w:r>
      <w:proofErr w:type="spellStart"/>
      <w:r w:rsidRPr="004B77BB">
        <w:rPr>
          <w:rFonts w:ascii="Times New Roman" w:eastAsia="Times New Roman" w:hAnsi="Times New Roman" w:cs="Times New Roman"/>
          <w:sz w:val="24"/>
          <w:szCs w:val="24"/>
          <w:lang w:eastAsia="es-ES"/>
        </w:rPr>
        <w:t>Psychologist</w:t>
      </w:r>
      <w:proofErr w:type="spellEnd"/>
      <w:r w:rsidRPr="004B77BB">
        <w:rPr>
          <w:rFonts w:ascii="Times New Roman" w:eastAsia="Times New Roman" w:hAnsi="Times New Roman" w:cs="Times New Roman"/>
          <w:sz w:val="24"/>
          <w:szCs w:val="24"/>
          <w:lang w:eastAsia="es-ES"/>
        </w:rPr>
        <w:t>, 66(4), 290.</w:t>
      </w:r>
    </w:p>
    <w:p w14:paraId="36DA7A01"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eastAsia="es-ES"/>
        </w:rPr>
        <w:lastRenderedPageBreak/>
        <w:t xml:space="preserve">Goldstein, N.J., Cialdini, R.B. &amp; </w:t>
      </w:r>
      <w:proofErr w:type="spellStart"/>
      <w:r w:rsidRPr="004B77BB">
        <w:rPr>
          <w:rFonts w:ascii="Times New Roman" w:eastAsia="Times New Roman" w:hAnsi="Times New Roman" w:cs="Times New Roman"/>
          <w:sz w:val="24"/>
          <w:szCs w:val="24"/>
          <w:lang w:eastAsia="es-ES"/>
        </w:rPr>
        <w:t>Griskevicius</w:t>
      </w:r>
      <w:proofErr w:type="spellEnd"/>
      <w:r w:rsidRPr="004B77BB">
        <w:rPr>
          <w:rFonts w:ascii="Times New Roman" w:eastAsia="Times New Roman" w:hAnsi="Times New Roman" w:cs="Times New Roman"/>
          <w:sz w:val="24"/>
          <w:szCs w:val="24"/>
          <w:lang w:eastAsia="es-ES"/>
        </w:rPr>
        <w:t xml:space="preserve">, V. (2008). </w:t>
      </w:r>
      <w:r w:rsidRPr="004B77BB">
        <w:rPr>
          <w:rFonts w:ascii="Times New Roman" w:eastAsia="Times New Roman" w:hAnsi="Times New Roman" w:cs="Times New Roman"/>
          <w:sz w:val="24"/>
          <w:szCs w:val="24"/>
          <w:lang w:val="en-US" w:eastAsia="es-ES"/>
        </w:rPr>
        <w:t>A room with a viewpoint: Using social norms to motivate environmental conservation in hotels. Journal of Consumer Research, 35(3), 472–482.</w:t>
      </w:r>
    </w:p>
    <w:p w14:paraId="76873DD2"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Graham, J., Haidt, J. &amp; Nosek, B.A. (2009). Liberals and conservatives rely on different sets of moral foundations. Journal of Personality and Social Psychology, 96(5), 1029–1046.</w:t>
      </w:r>
    </w:p>
    <w:p w14:paraId="3D5B89BD"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Intergovernmental Panel on Climate Change (2014). Climate change 2014: Synthesis report (AR5). Geneva: IPCC.</w:t>
      </w:r>
    </w:p>
    <w:p w14:paraId="7BBFF997"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Kallgren, C.A., Reno, R.R. &amp; Cialdini, R.B. (2000). A focus theory of normative conduct: When norms do and do not affect behavior. Personality &amp; Social Psychology Bulletin, 26(8), 1002–1012. doi:10.1177/01461672002610009</w:t>
      </w:r>
    </w:p>
    <w:p w14:paraId="0ED6FF35"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Kahneman, D. &amp; Tversky, A. (1979). Prospect theory: An analysis of decision under risk. Econometrica: Journal of the Econometric Society, 47, 263–291.</w:t>
      </w:r>
    </w:p>
    <w:p w14:paraId="690956B7"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val="en-US" w:eastAsia="es-ES"/>
        </w:rPr>
        <w:t xml:space="preserve">Knobe, J. (2003). Intentional action and side effects in ordinary language. </w:t>
      </w:r>
      <w:proofErr w:type="spellStart"/>
      <w:r w:rsidRPr="004B77BB">
        <w:rPr>
          <w:rFonts w:ascii="Times New Roman" w:eastAsia="Times New Roman" w:hAnsi="Times New Roman" w:cs="Times New Roman"/>
          <w:sz w:val="24"/>
          <w:szCs w:val="24"/>
          <w:lang w:eastAsia="es-ES"/>
        </w:rPr>
        <w:t>Analysis</w:t>
      </w:r>
      <w:proofErr w:type="spellEnd"/>
      <w:r w:rsidRPr="004B77BB">
        <w:rPr>
          <w:rFonts w:ascii="Times New Roman" w:eastAsia="Times New Roman" w:hAnsi="Times New Roman" w:cs="Times New Roman"/>
          <w:sz w:val="24"/>
          <w:szCs w:val="24"/>
          <w:lang w:eastAsia="es-ES"/>
        </w:rPr>
        <w:t>, 63(279), 190–194.</w:t>
      </w:r>
    </w:p>
    <w:p w14:paraId="265088BE"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de-DE" w:eastAsia="es-ES"/>
        </w:rPr>
        <w:t xml:space="preserve">Lubell, M., Zahran, S. &amp; Vedlitz, A. (2007). </w:t>
      </w:r>
      <w:r w:rsidRPr="004B77BB">
        <w:rPr>
          <w:rFonts w:ascii="Times New Roman" w:eastAsia="Times New Roman" w:hAnsi="Times New Roman" w:cs="Times New Roman"/>
          <w:sz w:val="24"/>
          <w:szCs w:val="24"/>
          <w:lang w:val="en-US" w:eastAsia="es-ES"/>
        </w:rPr>
        <w:t>Collective action and citizen responses to global warming. Political Behavior, 29(3), 391–413. doi:</w:t>
      </w:r>
      <w:hyperlink r:id="rId8" w:tgtFrame="_blank" w:history="1">
        <w:r w:rsidRPr="004B77BB">
          <w:rPr>
            <w:rFonts w:ascii="Times New Roman" w:eastAsia="Times New Roman" w:hAnsi="Times New Roman" w:cs="Times New Roman"/>
            <w:color w:val="4E2F8C"/>
            <w:sz w:val="24"/>
            <w:szCs w:val="24"/>
            <w:u w:val="single"/>
            <w:lang w:val="en-US" w:eastAsia="es-ES"/>
          </w:rPr>
          <w:t>10.1007/s11109-006-9025-2</w:t>
        </w:r>
      </w:hyperlink>
    </w:p>
    <w:p w14:paraId="7A9AA7D4" w14:textId="77777777" w:rsidR="004B77BB" w:rsidRPr="004B77BB" w:rsidRDefault="004B77BB" w:rsidP="004B77BB">
      <w:pPr>
        <w:spacing w:after="15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val="en-US" w:eastAsia="es-ES"/>
        </w:rPr>
        <w:t xml:space="preserve">Markowitz, E.M. &amp; Shariff, A.F. (2012). Climate change and moral judgement. </w:t>
      </w:r>
      <w:proofErr w:type="spellStart"/>
      <w:r w:rsidRPr="004B77BB">
        <w:rPr>
          <w:rFonts w:ascii="Times New Roman" w:eastAsia="Times New Roman" w:hAnsi="Times New Roman" w:cs="Times New Roman"/>
          <w:sz w:val="24"/>
          <w:szCs w:val="24"/>
          <w:lang w:eastAsia="es-ES"/>
        </w:rPr>
        <w:t>Nature</w:t>
      </w:r>
      <w:proofErr w:type="spellEnd"/>
      <w:r w:rsidRPr="004B77BB">
        <w:rPr>
          <w:rFonts w:ascii="Times New Roman" w:eastAsia="Times New Roman" w:hAnsi="Times New Roman" w:cs="Times New Roman"/>
          <w:sz w:val="24"/>
          <w:szCs w:val="24"/>
          <w:lang w:eastAsia="es-ES"/>
        </w:rPr>
        <w:t xml:space="preserve"> </w:t>
      </w:r>
      <w:proofErr w:type="spellStart"/>
      <w:r w:rsidRPr="004B77BB">
        <w:rPr>
          <w:rFonts w:ascii="Times New Roman" w:eastAsia="Times New Roman" w:hAnsi="Times New Roman" w:cs="Times New Roman"/>
          <w:sz w:val="24"/>
          <w:szCs w:val="24"/>
          <w:lang w:eastAsia="es-ES"/>
        </w:rPr>
        <w:t>Climate</w:t>
      </w:r>
      <w:proofErr w:type="spellEnd"/>
      <w:r w:rsidRPr="004B77BB">
        <w:rPr>
          <w:rFonts w:ascii="Times New Roman" w:eastAsia="Times New Roman" w:hAnsi="Times New Roman" w:cs="Times New Roman"/>
          <w:sz w:val="24"/>
          <w:szCs w:val="24"/>
          <w:lang w:eastAsia="es-ES"/>
        </w:rPr>
        <w:t xml:space="preserve"> Change, 2(4), 243–247. doi:10.1038/nclimate1378</w:t>
      </w:r>
    </w:p>
    <w:p w14:paraId="1A2562CF"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eastAsia="es-ES"/>
        </w:rPr>
        <w:t xml:space="preserve">Marx, S.M., Weber, E.U., </w:t>
      </w:r>
      <w:proofErr w:type="spellStart"/>
      <w:r w:rsidRPr="004B77BB">
        <w:rPr>
          <w:rFonts w:ascii="Times New Roman" w:eastAsia="Times New Roman" w:hAnsi="Times New Roman" w:cs="Times New Roman"/>
          <w:sz w:val="24"/>
          <w:szCs w:val="24"/>
          <w:lang w:eastAsia="es-ES"/>
        </w:rPr>
        <w:t>Orlove</w:t>
      </w:r>
      <w:proofErr w:type="spellEnd"/>
      <w:r w:rsidRPr="004B77BB">
        <w:rPr>
          <w:rFonts w:ascii="Times New Roman" w:eastAsia="Times New Roman" w:hAnsi="Times New Roman" w:cs="Times New Roman"/>
          <w:sz w:val="24"/>
          <w:szCs w:val="24"/>
          <w:lang w:eastAsia="es-ES"/>
        </w:rPr>
        <w:t xml:space="preserve">, B.S. et al. </w:t>
      </w:r>
      <w:r w:rsidRPr="004B77BB">
        <w:rPr>
          <w:rFonts w:ascii="Times New Roman" w:eastAsia="Times New Roman" w:hAnsi="Times New Roman" w:cs="Times New Roman"/>
          <w:sz w:val="24"/>
          <w:szCs w:val="24"/>
          <w:lang w:val="en-US" w:eastAsia="es-ES"/>
        </w:rPr>
        <w:t>(2007). Communication and mental processes: Experiential and analytic processing of uncertain climate information. Global Environmental Change, 17(1), 47–58.</w:t>
      </w:r>
    </w:p>
    <w:p w14:paraId="274C5D2B"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Pearson, A. &amp; Schuldt, J. (2018). Climate change and intergroup relations: Psychological insights, synergies, and future prospects. Group Processes and Intergroup Relations, 21(3), 373–388.</w:t>
      </w:r>
    </w:p>
    <w:p w14:paraId="379EF66A"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Pearson, A.R., Schuldt, J.P. &amp; Romero-Canyas, R. (2016). Social climate science: A new vista for psychological science. Perspectives on Psychological Science, 11(5), 632–650.</w:t>
      </w:r>
    </w:p>
    <w:p w14:paraId="68601866"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Roser-Renouf, C., Maibach, E., Leiserowitz, A. et al. (2016). Faith, morality and the environment: Portraits of global warming’s six Americas. Yale University and George Mason University. New Haven, CT: Yale Program on Climate Change Communication.</w:t>
      </w:r>
    </w:p>
    <w:p w14:paraId="4994DD5E"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Schwartz, S.H. (1977). Normative influences on altruism. In L. Berkowitz (Ed.) Advances in experimental social psychology (Vol. 10, pp.221–279). New York: Academic Press.</w:t>
      </w:r>
    </w:p>
    <w:p w14:paraId="6EFD3098"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Sparkman, G. &amp; Walton, G.M. (2017). Dynamic norms promote sustainable behavior, even if it is counternormative. Psychological Science, 28(11), 1663–1674.</w:t>
      </w:r>
    </w:p>
    <w:p w14:paraId="023E2212" w14:textId="77777777" w:rsidR="004B77BB" w:rsidRPr="004B77BB" w:rsidRDefault="004B77BB" w:rsidP="004B77BB">
      <w:pPr>
        <w:spacing w:after="150" w:line="240" w:lineRule="auto"/>
        <w:rPr>
          <w:rFonts w:ascii="Times New Roman" w:eastAsia="Times New Roman" w:hAnsi="Times New Roman" w:cs="Times New Roman"/>
          <w:sz w:val="24"/>
          <w:szCs w:val="24"/>
          <w:lang w:val="de-DE" w:eastAsia="es-ES"/>
        </w:rPr>
      </w:pPr>
      <w:r w:rsidRPr="004B77BB">
        <w:rPr>
          <w:rFonts w:ascii="Times New Roman" w:eastAsia="Times New Roman" w:hAnsi="Times New Roman" w:cs="Times New Roman"/>
          <w:sz w:val="24"/>
          <w:szCs w:val="24"/>
          <w:lang w:val="en-US" w:eastAsia="es-ES"/>
        </w:rPr>
        <w:t xml:space="preserve">Spence, A., Poortinga, W. &amp; Pidgeon, N. (2012). The psychological distance of climate change. </w:t>
      </w:r>
      <w:r w:rsidRPr="004B77BB">
        <w:rPr>
          <w:rFonts w:ascii="Times New Roman" w:eastAsia="Times New Roman" w:hAnsi="Times New Roman" w:cs="Times New Roman"/>
          <w:sz w:val="24"/>
          <w:szCs w:val="24"/>
          <w:lang w:val="de-DE" w:eastAsia="es-ES"/>
        </w:rPr>
        <w:t>Risk Analysis, 32(6), 957–972.</w:t>
      </w:r>
    </w:p>
    <w:p w14:paraId="24ADC0EA"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de-DE" w:eastAsia="es-ES"/>
        </w:rPr>
        <w:t xml:space="preserve">Stern, P.C., Dietz, T., Abel, T. et al. </w:t>
      </w:r>
      <w:r w:rsidRPr="004B77BB">
        <w:rPr>
          <w:rFonts w:ascii="Times New Roman" w:eastAsia="Times New Roman" w:hAnsi="Times New Roman" w:cs="Times New Roman"/>
          <w:sz w:val="24"/>
          <w:szCs w:val="24"/>
          <w:lang w:val="en-US" w:eastAsia="es-ES"/>
        </w:rPr>
        <w:t>(1999). A value-belief-norm theory of support for social movements: The case of environmentalism. Human Ecology Review, 6(2), 81–97.</w:t>
      </w:r>
    </w:p>
    <w:p w14:paraId="38CEA993"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lastRenderedPageBreak/>
        <w:t>Swim, J., Clayton, S., Doherty, T. et al. (2009). Psychology and global climate change: Addressing a multi-faceted phenomenon and set of challenges. A report by the American Psychological Association’s Task Force on the Interface Between Psychology and Global Climate Change. Washington, DC: American Psychological Association.</w:t>
      </w:r>
    </w:p>
    <w:p w14:paraId="6B4C51B4"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Taufik, D., Bolderdijk, J.W. &amp; Steg, L. (2015). Acting green elicits a literal warm glow. Nature Climate Change, 5(1), 37–40.</w:t>
      </w:r>
    </w:p>
    <w:p w14:paraId="69E75668"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van der Linden, S. (2017). The nature of viral altruism and how to make it stick. Nature Human Behaviour, 1, 0041. doi:10.1038/s41562-016-0041</w:t>
      </w:r>
    </w:p>
    <w:p w14:paraId="6AEAC2E6"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van der Linden, S. (2018). Warm glow is associated with low- but not high-cost sustainable behaviour. Nature Sustainability, 1(1), 28–30. doi:10.1038/s41893-017-0001-0</w:t>
      </w:r>
    </w:p>
    <w:p w14:paraId="4B43D9B4"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van der Linden, S., Leiserowitz, A. &amp; Maibach, E. (2018). Scientific agreement can neutralize politicization of facts. Nature Human Behaviour, 2, 2–3. doi:10.1038/s41562-017-0259-2</w:t>
      </w:r>
    </w:p>
    <w:p w14:paraId="0503BAD1"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van der Linden, S., Maibach, E. &amp; Leiserowitz, A. (2015). Improving public engagement with climate change: Five ‘best practice’ insights from psychological science. Perspectives on Psychological Science, 10(6), 758–763.</w:t>
      </w:r>
    </w:p>
    <w:p w14:paraId="7B229108"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van Lange, P.A.M., Joireman, J. &amp; Milinski, M. (2018). Climate change: What psychology can offer in terms of insights and solutions [Advance online publication]. Current Directions in Psychological Science. doi:10.1177/0963721417753945</w:t>
      </w:r>
    </w:p>
    <w:p w14:paraId="7822C714"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van Vugt, M. (2009). Averting the tragedy of the commons using social psychological science to protect the environment. Current Directions in Psychological Science, 18(3),169–173.</w:t>
      </w:r>
    </w:p>
    <w:p w14:paraId="693C4F1C"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van Zomeren, M., Postmes, T. &amp; Spears, R. (2008). Toward an integrative social identity model of collective action: a quantitative research synthesis of three socio-psychological perspectives. Psychological Bulletin, 134(4), 504–535. doi:10.1037/0033-2909.134.4.504</w:t>
      </w:r>
    </w:p>
    <w:p w14:paraId="49B3E752" w14:textId="77777777" w:rsidR="004B77BB" w:rsidRPr="004B77BB" w:rsidRDefault="004B77BB" w:rsidP="004B77BB">
      <w:pPr>
        <w:spacing w:after="150" w:line="240" w:lineRule="auto"/>
        <w:rPr>
          <w:rFonts w:ascii="Times New Roman" w:eastAsia="Times New Roman" w:hAnsi="Times New Roman" w:cs="Times New Roman"/>
          <w:sz w:val="24"/>
          <w:szCs w:val="24"/>
          <w:lang w:val="en-US" w:eastAsia="es-ES"/>
        </w:rPr>
      </w:pPr>
      <w:r w:rsidRPr="004B77BB">
        <w:rPr>
          <w:rFonts w:ascii="Times New Roman" w:eastAsia="Times New Roman" w:hAnsi="Times New Roman" w:cs="Times New Roman"/>
          <w:sz w:val="24"/>
          <w:szCs w:val="24"/>
          <w:lang w:val="en-US" w:eastAsia="es-ES"/>
        </w:rPr>
        <w:t>Wolsko, C., Ariceaga, H. &amp; Seiden, J. (2016). Red, white, and blue enough to be green: Effects of moral framing on climate change attitudes and conservation behaviors. Journal of Experimental Social Psychology, 65, 7–19. doi:10.1016/j.jesp.2016.02.005</w:t>
      </w:r>
    </w:p>
    <w:p w14:paraId="15BE2230" w14:textId="77777777" w:rsidR="004B77BB" w:rsidRPr="004B77BB" w:rsidRDefault="004B77BB" w:rsidP="004B77BB">
      <w:pPr>
        <w:spacing w:after="0" w:line="240" w:lineRule="auto"/>
        <w:rPr>
          <w:rFonts w:ascii="Times New Roman" w:eastAsia="Times New Roman" w:hAnsi="Times New Roman" w:cs="Times New Roman"/>
          <w:sz w:val="24"/>
          <w:szCs w:val="24"/>
          <w:lang w:eastAsia="es-ES"/>
        </w:rPr>
      </w:pPr>
      <w:r w:rsidRPr="004B77BB">
        <w:rPr>
          <w:rFonts w:ascii="Times New Roman" w:eastAsia="Times New Roman" w:hAnsi="Times New Roman" w:cs="Times New Roman"/>
          <w:sz w:val="24"/>
          <w:szCs w:val="24"/>
          <w:lang w:val="en-US" w:eastAsia="es-ES"/>
        </w:rPr>
        <w:t xml:space="preserve">Zelenski, J.M., Dopko, R.L. &amp; Capaldi, C.A. (2015). Cooperation is in our nature: Nature exposure may promote cooperative and environmentally sustainable behavior. </w:t>
      </w:r>
      <w:proofErr w:type="spellStart"/>
      <w:r w:rsidRPr="004B77BB">
        <w:rPr>
          <w:rFonts w:ascii="Times New Roman" w:eastAsia="Times New Roman" w:hAnsi="Times New Roman" w:cs="Times New Roman"/>
          <w:sz w:val="24"/>
          <w:szCs w:val="24"/>
          <w:lang w:eastAsia="es-ES"/>
        </w:rPr>
        <w:t>Journal</w:t>
      </w:r>
      <w:proofErr w:type="spellEnd"/>
      <w:r w:rsidRPr="004B77BB">
        <w:rPr>
          <w:rFonts w:ascii="Times New Roman" w:eastAsia="Times New Roman" w:hAnsi="Times New Roman" w:cs="Times New Roman"/>
          <w:sz w:val="24"/>
          <w:szCs w:val="24"/>
          <w:lang w:eastAsia="es-ES"/>
        </w:rPr>
        <w:t xml:space="preserve"> </w:t>
      </w:r>
      <w:proofErr w:type="spellStart"/>
      <w:r w:rsidRPr="004B77BB">
        <w:rPr>
          <w:rFonts w:ascii="Times New Roman" w:eastAsia="Times New Roman" w:hAnsi="Times New Roman" w:cs="Times New Roman"/>
          <w:sz w:val="24"/>
          <w:szCs w:val="24"/>
          <w:lang w:eastAsia="es-ES"/>
        </w:rPr>
        <w:t>of</w:t>
      </w:r>
      <w:proofErr w:type="spellEnd"/>
      <w:r w:rsidRPr="004B77BB">
        <w:rPr>
          <w:rFonts w:ascii="Times New Roman" w:eastAsia="Times New Roman" w:hAnsi="Times New Roman" w:cs="Times New Roman"/>
          <w:sz w:val="24"/>
          <w:szCs w:val="24"/>
          <w:lang w:eastAsia="es-ES"/>
        </w:rPr>
        <w:t xml:space="preserve"> </w:t>
      </w:r>
      <w:proofErr w:type="spellStart"/>
      <w:r w:rsidRPr="004B77BB">
        <w:rPr>
          <w:rFonts w:ascii="Times New Roman" w:eastAsia="Times New Roman" w:hAnsi="Times New Roman" w:cs="Times New Roman"/>
          <w:sz w:val="24"/>
          <w:szCs w:val="24"/>
          <w:lang w:eastAsia="es-ES"/>
        </w:rPr>
        <w:t>Environmental</w:t>
      </w:r>
      <w:proofErr w:type="spellEnd"/>
      <w:r w:rsidRPr="004B77BB">
        <w:rPr>
          <w:rFonts w:ascii="Times New Roman" w:eastAsia="Times New Roman" w:hAnsi="Times New Roman" w:cs="Times New Roman"/>
          <w:sz w:val="24"/>
          <w:szCs w:val="24"/>
          <w:lang w:eastAsia="es-ES"/>
        </w:rPr>
        <w:t xml:space="preserve"> </w:t>
      </w:r>
      <w:proofErr w:type="spellStart"/>
      <w:r w:rsidRPr="004B77BB">
        <w:rPr>
          <w:rFonts w:ascii="Times New Roman" w:eastAsia="Times New Roman" w:hAnsi="Times New Roman" w:cs="Times New Roman"/>
          <w:sz w:val="24"/>
          <w:szCs w:val="24"/>
          <w:lang w:eastAsia="es-ES"/>
        </w:rPr>
        <w:t>Psychology</w:t>
      </w:r>
      <w:proofErr w:type="spellEnd"/>
      <w:r w:rsidRPr="004B77BB">
        <w:rPr>
          <w:rFonts w:ascii="Times New Roman" w:eastAsia="Times New Roman" w:hAnsi="Times New Roman" w:cs="Times New Roman"/>
          <w:sz w:val="24"/>
          <w:szCs w:val="24"/>
          <w:lang w:eastAsia="es-ES"/>
        </w:rPr>
        <w:t>, 42, 24–31.</w:t>
      </w:r>
    </w:p>
    <w:p w14:paraId="6E99720F" w14:textId="77777777" w:rsidR="00B01325" w:rsidRPr="004B77BB" w:rsidRDefault="00B01325" w:rsidP="004B77BB"/>
    <w:sectPr w:rsidR="00B01325" w:rsidRPr="004B77B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7BB"/>
    <w:rsid w:val="004B77BB"/>
    <w:rsid w:val="00B013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20150"/>
  <w15:chartTrackingRefBased/>
  <w15:docId w15:val="{D59FBFA9-F36D-4AE8-808A-0B35FA915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19505">
      <w:bodyDiv w:val="1"/>
      <w:marLeft w:val="0"/>
      <w:marRight w:val="0"/>
      <w:marTop w:val="0"/>
      <w:marBottom w:val="0"/>
      <w:divBdr>
        <w:top w:val="none" w:sz="0" w:space="0" w:color="auto"/>
        <w:left w:val="none" w:sz="0" w:space="0" w:color="auto"/>
        <w:bottom w:val="none" w:sz="0" w:space="0" w:color="auto"/>
        <w:right w:val="none" w:sz="0" w:space="0" w:color="auto"/>
      </w:divBdr>
      <w:divsChild>
        <w:div w:id="544683061">
          <w:marLeft w:val="0"/>
          <w:marRight w:val="0"/>
          <w:marTop w:val="0"/>
          <w:marBottom w:val="150"/>
          <w:divBdr>
            <w:top w:val="none" w:sz="0" w:space="0" w:color="auto"/>
            <w:left w:val="none" w:sz="0" w:space="0" w:color="auto"/>
            <w:bottom w:val="none" w:sz="0" w:space="0" w:color="auto"/>
            <w:right w:val="none" w:sz="0" w:space="0" w:color="auto"/>
          </w:divBdr>
        </w:div>
        <w:div w:id="1747920803">
          <w:marLeft w:val="0"/>
          <w:marRight w:val="0"/>
          <w:marTop w:val="0"/>
          <w:marBottom w:val="150"/>
          <w:divBdr>
            <w:top w:val="none" w:sz="0" w:space="0" w:color="auto"/>
            <w:left w:val="none" w:sz="0" w:space="0" w:color="auto"/>
            <w:bottom w:val="none" w:sz="0" w:space="0" w:color="auto"/>
            <w:right w:val="none" w:sz="0" w:space="0" w:color="auto"/>
          </w:divBdr>
        </w:div>
        <w:div w:id="534853771">
          <w:marLeft w:val="0"/>
          <w:marRight w:val="0"/>
          <w:marTop w:val="0"/>
          <w:marBottom w:val="150"/>
          <w:divBdr>
            <w:top w:val="none" w:sz="0" w:space="0" w:color="auto"/>
            <w:left w:val="none" w:sz="0" w:space="0" w:color="auto"/>
            <w:bottom w:val="none" w:sz="0" w:space="0" w:color="auto"/>
            <w:right w:val="none" w:sz="0" w:space="0" w:color="auto"/>
          </w:divBdr>
        </w:div>
        <w:div w:id="359628239">
          <w:marLeft w:val="0"/>
          <w:marRight w:val="0"/>
          <w:marTop w:val="0"/>
          <w:marBottom w:val="0"/>
          <w:divBdr>
            <w:top w:val="none" w:sz="0" w:space="0" w:color="auto"/>
            <w:left w:val="none" w:sz="0" w:space="0" w:color="auto"/>
            <w:bottom w:val="none" w:sz="0" w:space="0" w:color="auto"/>
            <w:right w:val="none" w:sz="0" w:space="0" w:color="auto"/>
          </w:divBdr>
          <w:divsChild>
            <w:div w:id="1936860490">
              <w:marLeft w:val="0"/>
              <w:marRight w:val="0"/>
              <w:marTop w:val="0"/>
              <w:marBottom w:val="0"/>
              <w:divBdr>
                <w:top w:val="none" w:sz="0" w:space="0" w:color="auto"/>
                <w:left w:val="none" w:sz="0" w:space="0" w:color="auto"/>
                <w:bottom w:val="none" w:sz="0" w:space="0" w:color="auto"/>
                <w:right w:val="none" w:sz="0" w:space="0" w:color="auto"/>
              </w:divBdr>
              <w:divsChild>
                <w:div w:id="1296640673">
                  <w:marLeft w:val="0"/>
                  <w:marRight w:val="0"/>
                  <w:marTop w:val="0"/>
                  <w:marBottom w:val="0"/>
                  <w:divBdr>
                    <w:top w:val="none" w:sz="0" w:space="0" w:color="auto"/>
                    <w:left w:val="none" w:sz="0" w:space="0" w:color="auto"/>
                    <w:bottom w:val="none" w:sz="0" w:space="0" w:color="auto"/>
                    <w:right w:val="none" w:sz="0" w:space="0" w:color="auto"/>
                  </w:divBdr>
                  <w:divsChild>
                    <w:div w:id="1225413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1007/s11109-006-9025-2" TargetMode="External"/><Relationship Id="rId3" Type="http://schemas.openxmlformats.org/officeDocument/2006/relationships/webSettings" Target="webSettings.xml"/><Relationship Id="rId7" Type="http://schemas.openxmlformats.org/officeDocument/2006/relationships/hyperlink" Target="http://www.elizasouthwood.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ander.vanderlinden@psychol.cam.ac.uk" TargetMode="External"/><Relationship Id="rId5" Type="http://schemas.openxmlformats.org/officeDocument/2006/relationships/hyperlink" Target="mailto:cb954@cam.ac.uk" TargetMode="External"/><Relationship Id="rId10" Type="http://schemas.openxmlformats.org/officeDocument/2006/relationships/theme" Target="theme/theme1.xml"/><Relationship Id="rId4" Type="http://schemas.openxmlformats.org/officeDocument/2006/relationships/hyperlink" Target="http://forum.objectivismonline.com/index.php?/topic/31012-a-pig-under-an-oak-tree/" TargetMode="Externa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3976</Words>
  <Characters>21868</Characters>
  <Application>Microsoft Office Word</Application>
  <DocSecurity>0</DocSecurity>
  <Lines>182</Lines>
  <Paragraphs>51</Paragraphs>
  <ScaleCrop>false</ScaleCrop>
  <Company/>
  <LinksUpToDate>false</LinksUpToDate>
  <CharactersWithSpaces>25793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Vicente Aloy</dc:creator>
  <cp:keywords/>
  <dc:description/>
  <cp:lastModifiedBy>Vicente Aloy</cp:lastModifiedBy>
  <cp:revision>2</cp:revision>
  <dcterms:created xsi:type="dcterms:W3CDTF">2022-02-25T13:49:00Z</dcterms:created>
  <dcterms:modified xsi:type="dcterms:W3CDTF">2022-02-25T13:50:00Z</dcterms:modified>
</cp:coreProperties>
</file>